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BE" w:rsidRPr="00DD6DBE" w:rsidRDefault="00DD6DBE" w:rsidP="00DD6DBE">
      <w:pPr>
        <w:bidi w:val="0"/>
        <w:jc w:val="center"/>
        <w:rPr>
          <w:b/>
          <w:bCs/>
          <w:sz w:val="32"/>
          <w:szCs w:val="32"/>
          <w:lang w:bidi="ar-IQ"/>
        </w:rPr>
      </w:pPr>
      <w:proofErr w:type="spellStart"/>
      <w:r w:rsidRPr="00DD6DBE">
        <w:rPr>
          <w:b/>
          <w:bCs/>
          <w:sz w:val="32"/>
          <w:szCs w:val="32"/>
          <w:lang w:bidi="ar-IQ"/>
        </w:rPr>
        <w:t>Ostertagiasis</w:t>
      </w:r>
      <w:proofErr w:type="spellEnd"/>
    </w:p>
    <w:p w:rsidR="000B45F2" w:rsidRDefault="000B45F2" w:rsidP="00DD6DBE">
      <w:pPr>
        <w:bidi w:val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Cattle can be </w:t>
      </w:r>
      <w:proofErr w:type="spellStart"/>
      <w:r w:rsidRPr="000B45F2">
        <w:rPr>
          <w:sz w:val="28"/>
          <w:szCs w:val="28"/>
          <w:lang w:bidi="ar-IQ"/>
        </w:rPr>
        <w:t>parasitised</w:t>
      </w:r>
      <w:proofErr w:type="spellEnd"/>
      <w:r w:rsidRPr="000B45F2">
        <w:rPr>
          <w:sz w:val="28"/>
          <w:szCs w:val="28"/>
          <w:lang w:bidi="ar-IQ"/>
        </w:rPr>
        <w:t xml:space="preserve"> by over 18 species of gastrointestinal nematodes</w:t>
      </w:r>
      <w:r w:rsidRPr="000B45F2">
        <w:rPr>
          <w:rFonts w:cs="Arial"/>
          <w:sz w:val="28"/>
          <w:szCs w:val="28"/>
          <w:rtl/>
          <w:lang w:bidi="ar-IQ"/>
        </w:rPr>
        <w:t>,</w:t>
      </w:r>
      <w:r w:rsidRPr="000B45F2">
        <w:rPr>
          <w:sz w:val="28"/>
          <w:szCs w:val="28"/>
          <w:lang w:bidi="ar-IQ"/>
        </w:rPr>
        <w:t>infection causing parasitic gastroenteritis (PGE). The most economically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important gastrointestinal nematode in cattle is </w:t>
      </w:r>
      <w:proofErr w:type="spellStart"/>
      <w:r w:rsidRPr="00DD6DBE">
        <w:rPr>
          <w:i/>
          <w:iCs/>
          <w:sz w:val="28"/>
          <w:szCs w:val="28"/>
          <w:lang w:bidi="ar-IQ"/>
        </w:rPr>
        <w:t>Ostertagia</w:t>
      </w:r>
      <w:proofErr w:type="spellEnd"/>
      <w:r w:rsidRPr="00DD6DBE">
        <w:rPr>
          <w:i/>
          <w:iCs/>
          <w:sz w:val="28"/>
          <w:szCs w:val="28"/>
          <w:lang w:bidi="ar-IQ"/>
        </w:rPr>
        <w:t xml:space="preserve"> </w:t>
      </w:r>
      <w:proofErr w:type="spellStart"/>
      <w:r w:rsidRPr="00DD6DBE">
        <w:rPr>
          <w:i/>
          <w:iCs/>
          <w:sz w:val="28"/>
          <w:szCs w:val="28"/>
          <w:lang w:bidi="ar-IQ"/>
        </w:rPr>
        <w:t>ostertagi</w:t>
      </w:r>
      <w:proofErr w:type="spellEnd"/>
      <w:r w:rsidRPr="000B45F2">
        <w:rPr>
          <w:sz w:val="28"/>
          <w:szCs w:val="28"/>
          <w:lang w:bidi="ar-IQ"/>
        </w:rPr>
        <w:t xml:space="preserve"> and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whilst the diagnosis, epidemiology, treatment and control are described in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detail for this parasite, details are similar for other gastrointestinal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nematodes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4F0072" w:rsidRPr="004F0072" w:rsidRDefault="004F0072" w:rsidP="00DD6DBE">
      <w:pPr>
        <w:bidi w:val="0"/>
        <w:spacing w:after="0"/>
        <w:jc w:val="highKashida"/>
        <w:rPr>
          <w:sz w:val="28"/>
          <w:szCs w:val="28"/>
          <w:lang w:bidi="ar-IQ"/>
        </w:rPr>
      </w:pPr>
      <w:r w:rsidRPr="004F0072">
        <w:rPr>
          <w:sz w:val="28"/>
          <w:szCs w:val="28"/>
          <w:lang w:bidi="ar-IQ"/>
        </w:rPr>
        <w:t>Species</w:t>
      </w:r>
      <w:r w:rsidRPr="004F0072">
        <w:rPr>
          <w:rFonts w:cs="Arial"/>
          <w:sz w:val="28"/>
          <w:szCs w:val="28"/>
          <w:rtl/>
          <w:lang w:bidi="ar-IQ"/>
        </w:rPr>
        <w:t>:</w:t>
      </w:r>
    </w:p>
    <w:p w:rsidR="004F0072" w:rsidRPr="004F0072" w:rsidRDefault="004F0072" w:rsidP="00DD6DBE">
      <w:pPr>
        <w:bidi w:val="0"/>
        <w:spacing w:after="0"/>
        <w:jc w:val="highKashida"/>
        <w:rPr>
          <w:sz w:val="28"/>
          <w:szCs w:val="28"/>
          <w:lang w:bidi="ar-IQ"/>
        </w:rPr>
      </w:pPr>
      <w:proofErr w:type="spellStart"/>
      <w:r w:rsidRPr="004F0072">
        <w:rPr>
          <w:i/>
          <w:iCs/>
          <w:sz w:val="28"/>
          <w:szCs w:val="28"/>
          <w:lang w:bidi="ar-IQ"/>
        </w:rPr>
        <w:t>Ostertcigia</w:t>
      </w:r>
      <w:proofErr w:type="spellEnd"/>
      <w:r w:rsidRPr="004F0072">
        <w:rPr>
          <w:i/>
          <w:iCs/>
          <w:sz w:val="28"/>
          <w:szCs w:val="28"/>
          <w:lang w:bidi="ar-IQ"/>
        </w:rPr>
        <w:t xml:space="preserve"> </w:t>
      </w:r>
      <w:proofErr w:type="spellStart"/>
      <w:r w:rsidRPr="004F0072">
        <w:rPr>
          <w:i/>
          <w:iCs/>
          <w:sz w:val="28"/>
          <w:szCs w:val="28"/>
          <w:lang w:bidi="ar-IQ"/>
        </w:rPr>
        <w:t>ostertagi</w:t>
      </w:r>
      <w:proofErr w:type="spellEnd"/>
      <w:r w:rsidRPr="004F0072">
        <w:rPr>
          <w:rFonts w:cs="Arial"/>
          <w:sz w:val="28"/>
          <w:szCs w:val="28"/>
          <w:rtl/>
          <w:lang w:bidi="ar-IQ"/>
        </w:rPr>
        <w:tab/>
      </w:r>
      <w:r w:rsidRPr="004F0072">
        <w:rPr>
          <w:sz w:val="28"/>
          <w:szCs w:val="28"/>
          <w:lang w:bidi="ar-IQ"/>
        </w:rPr>
        <w:t>cattle</w:t>
      </w:r>
    </w:p>
    <w:p w:rsidR="004F0072" w:rsidRPr="004F0072" w:rsidRDefault="004F0072" w:rsidP="00DD6DBE">
      <w:pPr>
        <w:bidi w:val="0"/>
        <w:spacing w:after="0"/>
        <w:jc w:val="highKashida"/>
        <w:rPr>
          <w:sz w:val="28"/>
          <w:szCs w:val="28"/>
          <w:lang w:bidi="ar-IQ"/>
        </w:rPr>
      </w:pPr>
      <w:r w:rsidRPr="00DD6DBE">
        <w:rPr>
          <w:i/>
          <w:iCs/>
          <w:sz w:val="28"/>
          <w:szCs w:val="28"/>
          <w:lang w:bidi="ar-IQ"/>
        </w:rPr>
        <w:t xml:space="preserve">O. </w:t>
      </w:r>
      <w:proofErr w:type="spellStart"/>
      <w:r w:rsidR="00DD6DBE" w:rsidRPr="00DD6DBE">
        <w:rPr>
          <w:i/>
          <w:iCs/>
          <w:sz w:val="28"/>
          <w:szCs w:val="28"/>
          <w:lang w:bidi="ar-IQ"/>
        </w:rPr>
        <w:t>circumcincta</w:t>
      </w:r>
      <w:proofErr w:type="spellEnd"/>
      <w:r w:rsidRPr="004F0072">
        <w:rPr>
          <w:rFonts w:cs="Arial"/>
          <w:sz w:val="28"/>
          <w:szCs w:val="28"/>
          <w:rtl/>
          <w:lang w:bidi="ar-IQ"/>
        </w:rPr>
        <w:tab/>
      </w:r>
      <w:r w:rsidRPr="004F0072">
        <w:rPr>
          <w:sz w:val="28"/>
          <w:szCs w:val="28"/>
          <w:lang w:bidi="ar-IQ"/>
        </w:rPr>
        <w:t>sheep and goats</w:t>
      </w:r>
    </w:p>
    <w:p w:rsidR="004F0072" w:rsidRPr="000B45F2" w:rsidRDefault="004F0072" w:rsidP="00DD6DBE">
      <w:pPr>
        <w:bidi w:val="0"/>
        <w:spacing w:after="0"/>
        <w:jc w:val="highKashida"/>
        <w:rPr>
          <w:sz w:val="28"/>
          <w:szCs w:val="28"/>
          <w:lang w:bidi="ar-IQ"/>
        </w:rPr>
      </w:pPr>
      <w:r w:rsidRPr="00DD6DBE">
        <w:rPr>
          <w:i/>
          <w:iCs/>
          <w:sz w:val="28"/>
          <w:szCs w:val="28"/>
          <w:lang w:bidi="ar-IQ"/>
        </w:rPr>
        <w:t xml:space="preserve">O. </w:t>
      </w:r>
      <w:proofErr w:type="spellStart"/>
      <w:r w:rsidRPr="00DD6DBE">
        <w:rPr>
          <w:i/>
          <w:iCs/>
          <w:sz w:val="28"/>
          <w:szCs w:val="28"/>
          <w:lang w:bidi="ar-IQ"/>
        </w:rPr>
        <w:t>trifurcata</w:t>
      </w:r>
      <w:proofErr w:type="spellEnd"/>
      <w:r w:rsidRPr="004F0072">
        <w:rPr>
          <w:sz w:val="28"/>
          <w:szCs w:val="28"/>
          <w:lang w:bidi="ar-IQ"/>
        </w:rPr>
        <w:tab/>
      </w:r>
      <w:r w:rsidR="00DD6DBE">
        <w:rPr>
          <w:sz w:val="28"/>
          <w:szCs w:val="28"/>
          <w:lang w:bidi="ar-IQ"/>
        </w:rPr>
        <w:t xml:space="preserve">          </w:t>
      </w:r>
      <w:r w:rsidRPr="004F0072">
        <w:rPr>
          <w:sz w:val="28"/>
          <w:szCs w:val="28"/>
          <w:lang w:bidi="ar-IQ"/>
        </w:rPr>
        <w:t>sheep and goats</w:t>
      </w:r>
    </w:p>
    <w:p w:rsidR="000B45F2" w:rsidRPr="00FD02E9" w:rsidRDefault="000B45F2" w:rsidP="004F0072">
      <w:pPr>
        <w:bidi w:val="0"/>
        <w:spacing w:after="0"/>
        <w:rPr>
          <w:i/>
          <w:iCs/>
          <w:sz w:val="28"/>
          <w:szCs w:val="28"/>
          <w:lang w:bidi="ar-IQ"/>
        </w:rPr>
      </w:pPr>
      <w:proofErr w:type="spellStart"/>
      <w:r w:rsidRPr="00FD02E9">
        <w:rPr>
          <w:i/>
          <w:iCs/>
          <w:sz w:val="28"/>
          <w:szCs w:val="28"/>
          <w:lang w:bidi="ar-IQ"/>
        </w:rPr>
        <w:t>Ostertagia</w:t>
      </w:r>
      <w:proofErr w:type="spellEnd"/>
      <w:r w:rsidRPr="00FD02E9">
        <w:rPr>
          <w:i/>
          <w:iCs/>
          <w:sz w:val="28"/>
          <w:szCs w:val="28"/>
          <w:lang w:bidi="ar-IQ"/>
        </w:rPr>
        <w:t xml:space="preserve"> </w:t>
      </w:r>
      <w:proofErr w:type="spellStart"/>
      <w:r w:rsidRPr="00FD02E9">
        <w:rPr>
          <w:i/>
          <w:iCs/>
          <w:sz w:val="28"/>
          <w:szCs w:val="28"/>
          <w:lang w:bidi="ar-IQ"/>
        </w:rPr>
        <w:t>ostertagi</w:t>
      </w:r>
      <w:proofErr w:type="spellEnd"/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Synonym: </w:t>
      </w:r>
      <w:proofErr w:type="spellStart"/>
      <w:r w:rsidRPr="000B45F2">
        <w:rPr>
          <w:sz w:val="28"/>
          <w:szCs w:val="28"/>
          <w:lang w:bidi="ar-IQ"/>
        </w:rPr>
        <w:t>Ostertagia</w:t>
      </w:r>
      <w:proofErr w:type="spellEnd"/>
      <w:r w:rsidRPr="000B45F2">
        <w:rPr>
          <w:sz w:val="28"/>
          <w:szCs w:val="28"/>
          <w:lang w:bidi="ar-IQ"/>
        </w:rPr>
        <w:t xml:space="preserve"> </w:t>
      </w:r>
      <w:proofErr w:type="spellStart"/>
      <w:r w:rsidRPr="000B45F2">
        <w:rPr>
          <w:sz w:val="28"/>
          <w:szCs w:val="28"/>
          <w:lang w:bidi="ar-IQ"/>
        </w:rPr>
        <w:t>lyrata</w:t>
      </w:r>
      <w:proofErr w:type="spellEnd"/>
      <w:r w:rsidRPr="000B45F2">
        <w:rPr>
          <w:sz w:val="28"/>
          <w:szCs w:val="28"/>
          <w:lang w:bidi="ar-IQ"/>
        </w:rPr>
        <w:t xml:space="preserve">, </w:t>
      </w:r>
      <w:proofErr w:type="spellStart"/>
      <w:r w:rsidRPr="000B45F2">
        <w:rPr>
          <w:sz w:val="28"/>
          <w:szCs w:val="28"/>
          <w:lang w:bidi="ar-IQ"/>
        </w:rPr>
        <w:t>Skrjabinagia</w:t>
      </w:r>
      <w:proofErr w:type="spellEnd"/>
      <w:r w:rsidRPr="000B45F2">
        <w:rPr>
          <w:sz w:val="28"/>
          <w:szCs w:val="28"/>
          <w:lang w:bidi="ar-IQ"/>
        </w:rPr>
        <w:t xml:space="preserve"> </w:t>
      </w:r>
      <w:proofErr w:type="spellStart"/>
      <w:r w:rsidRPr="000B45F2">
        <w:rPr>
          <w:sz w:val="28"/>
          <w:szCs w:val="28"/>
          <w:lang w:bidi="ar-IQ"/>
        </w:rPr>
        <w:t>lyrata</w:t>
      </w:r>
      <w:proofErr w:type="spellEnd"/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Common name: Brown stomach worm</w:t>
      </w:r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Predilection site: Abomasum</w:t>
      </w:r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Parasite class: </w:t>
      </w:r>
      <w:proofErr w:type="spellStart"/>
      <w:r w:rsidRPr="000B45F2">
        <w:rPr>
          <w:sz w:val="28"/>
          <w:szCs w:val="28"/>
          <w:lang w:bidi="ar-IQ"/>
        </w:rPr>
        <w:t>Nematoda</w:t>
      </w:r>
      <w:proofErr w:type="spellEnd"/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Superfamily: </w:t>
      </w:r>
      <w:proofErr w:type="spellStart"/>
      <w:r w:rsidRPr="000B45F2">
        <w:rPr>
          <w:sz w:val="28"/>
          <w:szCs w:val="28"/>
          <w:lang w:bidi="ar-IQ"/>
        </w:rPr>
        <w:t>Trichostrongyloidea</w:t>
      </w:r>
      <w:proofErr w:type="spellEnd"/>
    </w:p>
    <w:p w:rsidR="000B45F2" w:rsidRPr="000B45F2" w:rsidRDefault="000B45F2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Description, gross: Adults are slender, reddish brown worms with a short</w:t>
      </w:r>
      <w:r w:rsidR="004F0072">
        <w:rPr>
          <w:sz w:val="28"/>
          <w:szCs w:val="28"/>
          <w:lang w:bidi="ar-IQ"/>
        </w:rPr>
        <w:t xml:space="preserve"> </w:t>
      </w:r>
      <w:proofErr w:type="spellStart"/>
      <w:r w:rsidRPr="000B45F2">
        <w:rPr>
          <w:sz w:val="28"/>
          <w:szCs w:val="28"/>
          <w:lang w:bidi="ar-IQ"/>
        </w:rPr>
        <w:t>buccal</w:t>
      </w:r>
      <w:proofErr w:type="spellEnd"/>
      <w:r w:rsidRPr="000B45F2">
        <w:rPr>
          <w:sz w:val="28"/>
          <w:szCs w:val="28"/>
          <w:lang w:bidi="ar-IQ"/>
        </w:rPr>
        <w:t xml:space="preserve"> cavity. Males measure 6–8 mm and females 8–9 mm in length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FD02E9">
        <w:rPr>
          <w:b/>
          <w:bCs/>
          <w:sz w:val="28"/>
          <w:szCs w:val="28"/>
          <w:lang w:bidi="ar-IQ"/>
        </w:rPr>
        <w:t>Description</w:t>
      </w:r>
      <w:r w:rsidRPr="000B45F2">
        <w:rPr>
          <w:sz w:val="28"/>
          <w:szCs w:val="28"/>
          <w:lang w:bidi="ar-IQ"/>
        </w:rPr>
        <w:t>, microscopic: The cuticle in the anterior region is striated</w:t>
      </w:r>
    </w:p>
    <w:p w:rsidR="000B45F2" w:rsidRPr="000B45F2" w:rsidRDefault="000B45F2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transversely whereas the rest of the body is </w:t>
      </w:r>
      <w:proofErr w:type="spellStart"/>
      <w:r w:rsidRPr="000B45F2">
        <w:rPr>
          <w:sz w:val="28"/>
          <w:szCs w:val="28"/>
          <w:lang w:bidi="ar-IQ"/>
        </w:rPr>
        <w:t>unstriated</w:t>
      </w:r>
      <w:proofErr w:type="spellEnd"/>
      <w:r w:rsidRPr="000B45F2">
        <w:rPr>
          <w:sz w:val="28"/>
          <w:szCs w:val="28"/>
          <w:lang w:bidi="ar-IQ"/>
        </w:rPr>
        <w:t xml:space="preserve"> and bears around 30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longitudinal ridges. The brown spicules are slightly curved and divided in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the posterior region to terminate in three stubby hooked processes (Fig</w:t>
      </w:r>
      <w:r w:rsidRPr="000B45F2">
        <w:rPr>
          <w:rFonts w:cs="Arial"/>
          <w:sz w:val="28"/>
          <w:szCs w:val="28"/>
          <w:rtl/>
          <w:lang w:bidi="ar-IQ"/>
        </w:rPr>
        <w:t>.2.3</w:t>
      </w:r>
      <w:r w:rsidRPr="000B45F2">
        <w:rPr>
          <w:sz w:val="28"/>
          <w:szCs w:val="28"/>
          <w:lang w:bidi="ar-IQ"/>
        </w:rPr>
        <w:t>a). In the female, the vulva is sited about 1.5 mm from the posterior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and is covered with a flap. The tail tapers gradually and ends in a slender</w:t>
      </w:r>
      <w:r w:rsidRPr="000B45F2">
        <w:rPr>
          <w:rFonts w:cs="Arial"/>
          <w:sz w:val="28"/>
          <w:szCs w:val="28"/>
          <w:rtl/>
          <w:lang w:bidi="ar-IQ"/>
        </w:rPr>
        <w:t>,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rounded tip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Fig. 2.3 Spicules of </w:t>
      </w:r>
      <w:proofErr w:type="spellStart"/>
      <w:r w:rsidRPr="000B45F2">
        <w:rPr>
          <w:sz w:val="28"/>
          <w:szCs w:val="28"/>
          <w:lang w:bidi="ar-IQ"/>
        </w:rPr>
        <w:t>Ostertagia</w:t>
      </w:r>
      <w:proofErr w:type="spellEnd"/>
      <w:r w:rsidRPr="000B45F2">
        <w:rPr>
          <w:sz w:val="28"/>
          <w:szCs w:val="28"/>
          <w:lang w:bidi="ar-IQ"/>
        </w:rPr>
        <w:t xml:space="preserve"> species. (a) O. </w:t>
      </w:r>
      <w:proofErr w:type="spellStart"/>
      <w:r w:rsidRPr="000B45F2">
        <w:rPr>
          <w:sz w:val="28"/>
          <w:szCs w:val="28"/>
          <w:lang w:bidi="ar-IQ"/>
        </w:rPr>
        <w:t>ostertagi</w:t>
      </w:r>
      <w:proofErr w:type="spellEnd"/>
      <w:r w:rsidRPr="000B45F2">
        <w:rPr>
          <w:sz w:val="28"/>
          <w:szCs w:val="28"/>
          <w:lang w:bidi="ar-IQ"/>
        </w:rPr>
        <w:t>. (b) O</w:t>
      </w:r>
      <w:r w:rsidRPr="000B45F2">
        <w:rPr>
          <w:rFonts w:cs="Arial"/>
          <w:sz w:val="28"/>
          <w:szCs w:val="28"/>
          <w:rtl/>
          <w:lang w:bidi="ar-IQ"/>
        </w:rPr>
        <w:t>.</w:t>
      </w:r>
      <w:r w:rsidR="00FD02E9">
        <w:rPr>
          <w:sz w:val="28"/>
          <w:szCs w:val="28"/>
          <w:lang w:bidi="ar-IQ"/>
        </w:rPr>
        <w:t xml:space="preserve"> </w:t>
      </w:r>
      <w:proofErr w:type="spellStart"/>
      <w:r w:rsidRPr="000B45F2">
        <w:rPr>
          <w:sz w:val="28"/>
          <w:szCs w:val="28"/>
          <w:lang w:bidi="ar-IQ"/>
        </w:rPr>
        <w:t>leptospicularis</w:t>
      </w:r>
      <w:proofErr w:type="spellEnd"/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983CAF" w:rsidRDefault="000B45F2" w:rsidP="004F0072">
      <w:pPr>
        <w:bidi w:val="0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7AC74C9" wp14:editId="5E093A01">
            <wp:extent cx="1708150" cy="2368550"/>
            <wp:effectExtent l="0" t="0" r="635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Hosts: Cattle, deer and very occasionally goats</w:t>
      </w:r>
    </w:p>
    <w:p w:rsidR="000B45F2" w:rsidRP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FD02E9">
        <w:rPr>
          <w:b/>
          <w:bCs/>
          <w:sz w:val="28"/>
          <w:szCs w:val="28"/>
          <w:lang w:bidi="ar-IQ"/>
        </w:rPr>
        <w:t>Life cycle</w:t>
      </w:r>
      <w:r w:rsidRPr="000B45F2">
        <w:rPr>
          <w:sz w:val="28"/>
          <w:szCs w:val="28"/>
          <w:lang w:bidi="ar-IQ"/>
        </w:rPr>
        <w:t xml:space="preserve">: The life cycle is direct. Eggs are passed in the </w:t>
      </w:r>
      <w:proofErr w:type="spellStart"/>
      <w:r w:rsidRPr="000B45F2">
        <w:rPr>
          <w:sz w:val="28"/>
          <w:szCs w:val="28"/>
          <w:lang w:bidi="ar-IQ"/>
        </w:rPr>
        <w:t>faeces</w:t>
      </w:r>
      <w:proofErr w:type="spellEnd"/>
      <w:r w:rsidRPr="000B45F2">
        <w:rPr>
          <w:sz w:val="28"/>
          <w:szCs w:val="28"/>
          <w:lang w:bidi="ar-IQ"/>
        </w:rPr>
        <w:t>, and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under optimal conditions, develop within the </w:t>
      </w:r>
      <w:proofErr w:type="spellStart"/>
      <w:r w:rsidRPr="000B45F2">
        <w:rPr>
          <w:sz w:val="28"/>
          <w:szCs w:val="28"/>
          <w:lang w:bidi="ar-IQ"/>
        </w:rPr>
        <w:t>faecal</w:t>
      </w:r>
      <w:proofErr w:type="spellEnd"/>
      <w:r w:rsidRPr="000B45F2">
        <w:rPr>
          <w:sz w:val="28"/>
          <w:szCs w:val="28"/>
          <w:lang w:bidi="ar-IQ"/>
        </w:rPr>
        <w:t xml:space="preserve"> pat to the infective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third stage within 2 weeks. When m</w:t>
      </w:r>
      <w:r w:rsidR="00FD02E9">
        <w:rPr>
          <w:sz w:val="28"/>
          <w:szCs w:val="28"/>
          <w:lang w:bidi="ar-IQ"/>
        </w:rPr>
        <w:t xml:space="preserve">oist conditions prevail, the L3 </w:t>
      </w:r>
      <w:r w:rsidRPr="000B45F2">
        <w:rPr>
          <w:sz w:val="28"/>
          <w:szCs w:val="28"/>
          <w:lang w:bidi="ar-IQ"/>
        </w:rPr>
        <w:t>migrate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from the </w:t>
      </w:r>
      <w:proofErr w:type="spellStart"/>
      <w:r w:rsidRPr="000B45F2">
        <w:rPr>
          <w:sz w:val="28"/>
          <w:szCs w:val="28"/>
          <w:lang w:bidi="ar-IQ"/>
        </w:rPr>
        <w:t>faeces</w:t>
      </w:r>
      <w:proofErr w:type="spellEnd"/>
      <w:r w:rsidRPr="000B45F2">
        <w:rPr>
          <w:sz w:val="28"/>
          <w:szCs w:val="28"/>
          <w:lang w:bidi="ar-IQ"/>
        </w:rPr>
        <w:t xml:space="preserve"> on to the herbage. After ingestion, the L3 </w:t>
      </w:r>
      <w:proofErr w:type="spellStart"/>
      <w:r w:rsidRPr="000B45F2">
        <w:rPr>
          <w:sz w:val="28"/>
          <w:szCs w:val="28"/>
          <w:lang w:bidi="ar-IQ"/>
        </w:rPr>
        <w:t>exsheaths</w:t>
      </w:r>
      <w:proofErr w:type="spellEnd"/>
      <w:r w:rsidRPr="000B45F2">
        <w:rPr>
          <w:sz w:val="28"/>
          <w:szCs w:val="28"/>
          <w:lang w:bidi="ar-IQ"/>
        </w:rPr>
        <w:t xml:space="preserve"> in the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rumen and further development takes place in the lumen of an </w:t>
      </w:r>
      <w:proofErr w:type="spellStart"/>
      <w:r w:rsidRPr="000B45F2">
        <w:rPr>
          <w:sz w:val="28"/>
          <w:szCs w:val="28"/>
          <w:lang w:bidi="ar-IQ"/>
        </w:rPr>
        <w:t>abomasal</w:t>
      </w:r>
      <w:proofErr w:type="spellEnd"/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gland. Two parasitic </w:t>
      </w:r>
      <w:proofErr w:type="spellStart"/>
      <w:r w:rsidRPr="000B45F2">
        <w:rPr>
          <w:sz w:val="28"/>
          <w:szCs w:val="28"/>
          <w:lang w:bidi="ar-IQ"/>
        </w:rPr>
        <w:t>moults</w:t>
      </w:r>
      <w:proofErr w:type="spellEnd"/>
      <w:r w:rsidRPr="000B45F2">
        <w:rPr>
          <w:sz w:val="28"/>
          <w:szCs w:val="28"/>
          <w:lang w:bidi="ar-IQ"/>
        </w:rPr>
        <w:t xml:space="preserve"> occur before the L5 emerges from the gland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around 18 days after infection to become sexually mature on the mucosal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surface. The entire parasitic life cycle usually takes 3 weeks, but under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certain circumstances many of the ingested L3 become arrested in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development at the early fourth larval stage (EL4) for periods of up to 6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months (also referred to as </w:t>
      </w:r>
      <w:proofErr w:type="spellStart"/>
      <w:r w:rsidRPr="000B45F2">
        <w:rPr>
          <w:sz w:val="28"/>
          <w:szCs w:val="28"/>
          <w:lang w:bidi="ar-IQ"/>
        </w:rPr>
        <w:t>hypobiosis</w:t>
      </w:r>
      <w:proofErr w:type="spellEnd"/>
      <w:r w:rsidR="00FD02E9">
        <w:rPr>
          <w:rFonts w:cs="Arial"/>
          <w:sz w:val="28"/>
          <w:szCs w:val="28"/>
          <w:lang w:bidi="ar-IQ"/>
        </w:rPr>
        <w:t>).</w:t>
      </w:r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FD02E9">
        <w:rPr>
          <w:b/>
          <w:bCs/>
          <w:sz w:val="28"/>
          <w:szCs w:val="28"/>
          <w:lang w:bidi="ar-IQ"/>
        </w:rPr>
        <w:t>Geographical distribution</w:t>
      </w:r>
      <w:r w:rsidRPr="000B45F2">
        <w:rPr>
          <w:sz w:val="28"/>
          <w:szCs w:val="28"/>
          <w:lang w:bidi="ar-IQ"/>
        </w:rPr>
        <w:t xml:space="preserve">: Worldwide. </w:t>
      </w:r>
      <w:proofErr w:type="spellStart"/>
      <w:r w:rsidRPr="000B45F2">
        <w:rPr>
          <w:sz w:val="28"/>
          <w:szCs w:val="28"/>
          <w:lang w:bidi="ar-IQ"/>
        </w:rPr>
        <w:t>Ostertagia</w:t>
      </w:r>
      <w:proofErr w:type="spellEnd"/>
      <w:r w:rsidRPr="000B45F2">
        <w:rPr>
          <w:sz w:val="28"/>
          <w:szCs w:val="28"/>
          <w:lang w:bidi="ar-IQ"/>
        </w:rPr>
        <w:t xml:space="preserve"> is especially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important in temperate climates and in subtropical regions with winter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rainfall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7348E0" w:rsidRDefault="000B45F2" w:rsidP="004F0072">
      <w:pPr>
        <w:bidi w:val="0"/>
        <w:jc w:val="both"/>
        <w:rPr>
          <w:rFonts w:cs="Arial"/>
          <w:sz w:val="28"/>
          <w:szCs w:val="28"/>
          <w:rtl/>
          <w:lang w:bidi="ar-IQ"/>
        </w:rPr>
      </w:pPr>
      <w:r w:rsidRPr="00FD02E9">
        <w:rPr>
          <w:b/>
          <w:bCs/>
          <w:sz w:val="28"/>
          <w:szCs w:val="28"/>
          <w:lang w:bidi="ar-IQ"/>
        </w:rPr>
        <w:t>Pathogenesis</w:t>
      </w:r>
      <w:r w:rsidRPr="000B45F2">
        <w:rPr>
          <w:sz w:val="28"/>
          <w:szCs w:val="28"/>
          <w:lang w:bidi="ar-IQ"/>
        </w:rPr>
        <w:t xml:space="preserve">: Large populations of O. </w:t>
      </w:r>
      <w:proofErr w:type="spellStart"/>
      <w:r w:rsidRPr="000B45F2">
        <w:rPr>
          <w:sz w:val="28"/>
          <w:szCs w:val="28"/>
          <w:lang w:bidi="ar-IQ"/>
        </w:rPr>
        <w:t>ostertagi</w:t>
      </w:r>
      <w:proofErr w:type="spellEnd"/>
      <w:r w:rsidRPr="000B45F2">
        <w:rPr>
          <w:sz w:val="28"/>
          <w:szCs w:val="28"/>
          <w:lang w:bidi="ar-IQ"/>
        </w:rPr>
        <w:t xml:space="preserve"> can induce extensive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pathological and biochemical changes and these are maximal when the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parasites are emerging from the gastric glands (about 18 days after</w:t>
      </w:r>
      <w:r w:rsidR="00FD02E9">
        <w:rPr>
          <w:sz w:val="28"/>
          <w:szCs w:val="28"/>
          <w:lang w:bidi="ar-IQ"/>
        </w:rPr>
        <w:t xml:space="preserve">  </w:t>
      </w:r>
      <w:r w:rsidRPr="000B45F2">
        <w:rPr>
          <w:sz w:val="28"/>
          <w:szCs w:val="28"/>
          <w:lang w:bidi="ar-IQ"/>
        </w:rPr>
        <w:t>infection) but these may be delayed for several months when arrested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larval development occurs</w:t>
      </w:r>
      <w:r w:rsidR="007348E0">
        <w:rPr>
          <w:rFonts w:cs="Arial"/>
          <w:sz w:val="28"/>
          <w:szCs w:val="28"/>
          <w:lang w:bidi="ar-IQ"/>
        </w:rPr>
        <w:t>.</w:t>
      </w:r>
    </w:p>
    <w:p w:rsidR="000B45F2" w:rsidRP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In heavy infections of 40 000 or more adult worms the principal effects of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these changes are first, a reduction in the acidity of the </w:t>
      </w:r>
      <w:proofErr w:type="spellStart"/>
      <w:r w:rsidRPr="000B45F2">
        <w:rPr>
          <w:sz w:val="28"/>
          <w:szCs w:val="28"/>
          <w:lang w:bidi="ar-IQ"/>
        </w:rPr>
        <w:t>abomasal</w:t>
      </w:r>
      <w:proofErr w:type="spellEnd"/>
      <w:r w:rsidRPr="000B45F2">
        <w:rPr>
          <w:sz w:val="28"/>
          <w:szCs w:val="28"/>
          <w:lang w:bidi="ar-IQ"/>
        </w:rPr>
        <w:t xml:space="preserve"> fluid, the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pH increasing from 2.0 up to 7.0. This results in a failure to activate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pepsinogen to pepsin. There is also a loss of bacteriostatic effect in the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abomasum. Secondly, there is an enhanced permeability of the </w:t>
      </w:r>
      <w:proofErr w:type="spellStart"/>
      <w:r w:rsidRPr="000B45F2">
        <w:rPr>
          <w:sz w:val="28"/>
          <w:szCs w:val="28"/>
          <w:lang w:bidi="ar-IQ"/>
        </w:rPr>
        <w:t>abomasal</w:t>
      </w:r>
      <w:proofErr w:type="spellEnd"/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epithelium to macromolecules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lastRenderedPageBreak/>
        <w:t>The results of these changes are a leakage of pepsinogen into the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circulation, leading to elevated plasma concentrations, and the loss of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plasma proteins into the gut lumen, eventually leading to</w:t>
      </w:r>
      <w:r w:rsidR="00FD02E9">
        <w:rPr>
          <w:sz w:val="28"/>
          <w:szCs w:val="28"/>
          <w:lang w:bidi="ar-IQ"/>
        </w:rPr>
        <w:t xml:space="preserve"> </w:t>
      </w:r>
      <w:proofErr w:type="spellStart"/>
      <w:r w:rsidRPr="000B45F2">
        <w:rPr>
          <w:sz w:val="28"/>
          <w:szCs w:val="28"/>
          <w:lang w:bidi="ar-IQ"/>
        </w:rPr>
        <w:t>hypoalbuminaemia</w:t>
      </w:r>
      <w:proofErr w:type="spellEnd"/>
      <w:r w:rsidRPr="000B45F2">
        <w:rPr>
          <w:sz w:val="28"/>
          <w:szCs w:val="28"/>
          <w:lang w:bidi="ar-IQ"/>
        </w:rPr>
        <w:t>. In addition, in response to the presence of the adult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parasites, the zymogen cells secr</w:t>
      </w:r>
      <w:r w:rsidR="00FD02E9">
        <w:rPr>
          <w:sz w:val="28"/>
          <w:szCs w:val="28"/>
          <w:lang w:bidi="ar-IQ"/>
        </w:rPr>
        <w:t xml:space="preserve">ete increased amounts of pepsin </w:t>
      </w:r>
      <w:r w:rsidRPr="000B45F2">
        <w:rPr>
          <w:sz w:val="28"/>
          <w:szCs w:val="28"/>
          <w:lang w:bidi="ar-IQ"/>
        </w:rPr>
        <w:t>directly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into the circulation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Although reduced feed consumption and </w:t>
      </w:r>
      <w:proofErr w:type="spellStart"/>
      <w:r w:rsidRPr="000B45F2">
        <w:rPr>
          <w:sz w:val="28"/>
          <w:szCs w:val="28"/>
          <w:lang w:bidi="ar-IQ"/>
        </w:rPr>
        <w:t>diarrhoea</w:t>
      </w:r>
      <w:proofErr w:type="spellEnd"/>
      <w:r w:rsidRPr="000B45F2">
        <w:rPr>
          <w:sz w:val="28"/>
          <w:szCs w:val="28"/>
          <w:lang w:bidi="ar-IQ"/>
        </w:rPr>
        <w:t xml:space="preserve"> affect </w:t>
      </w:r>
      <w:proofErr w:type="spellStart"/>
      <w:r w:rsidRPr="000B45F2">
        <w:rPr>
          <w:sz w:val="28"/>
          <w:szCs w:val="28"/>
          <w:lang w:bidi="ar-IQ"/>
        </w:rPr>
        <w:t>liveweight</w:t>
      </w:r>
      <w:proofErr w:type="spellEnd"/>
      <w:r w:rsidRPr="000B45F2">
        <w:rPr>
          <w:sz w:val="28"/>
          <w:szCs w:val="28"/>
          <w:lang w:bidi="ar-IQ"/>
        </w:rPr>
        <w:t xml:space="preserve"> gain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they do not wholly account for </w:t>
      </w:r>
      <w:r w:rsidR="00FD02E9">
        <w:rPr>
          <w:sz w:val="28"/>
          <w:szCs w:val="28"/>
          <w:lang w:bidi="ar-IQ"/>
        </w:rPr>
        <w:t xml:space="preserve">the loss in production. Current </w:t>
      </w:r>
      <w:r w:rsidRPr="000B45F2">
        <w:rPr>
          <w:sz w:val="28"/>
          <w:szCs w:val="28"/>
          <w:lang w:bidi="ar-IQ"/>
        </w:rPr>
        <w:t>evidence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suggests that this is primarily because of substantial leakage of</w:t>
      </w:r>
      <w:r w:rsidR="007348E0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endogenous protein into the gastrointestinal tract. Despite some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reabsorption, this leads to a disturbance in post-absorptive nitrogen and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energy metabolism due to the increas</w:t>
      </w:r>
      <w:r w:rsidR="00FD02E9">
        <w:rPr>
          <w:sz w:val="28"/>
          <w:szCs w:val="28"/>
          <w:lang w:bidi="ar-IQ"/>
        </w:rPr>
        <w:t xml:space="preserve">ed demands for the synthesis of </w:t>
      </w:r>
      <w:r w:rsidRPr="000B45F2">
        <w:rPr>
          <w:sz w:val="28"/>
          <w:szCs w:val="28"/>
          <w:lang w:bidi="ar-IQ"/>
        </w:rPr>
        <w:t>vital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proteins, such as albumin and the </w:t>
      </w:r>
      <w:proofErr w:type="spellStart"/>
      <w:r w:rsidRPr="000B45F2">
        <w:rPr>
          <w:sz w:val="28"/>
          <w:szCs w:val="28"/>
          <w:lang w:bidi="ar-IQ"/>
        </w:rPr>
        <w:t>immunoglobulins</w:t>
      </w:r>
      <w:proofErr w:type="spellEnd"/>
      <w:r w:rsidRPr="000B45F2">
        <w:rPr>
          <w:sz w:val="28"/>
          <w:szCs w:val="28"/>
          <w:lang w:bidi="ar-IQ"/>
        </w:rPr>
        <w:t>, which occur at the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expense of muscle protein and fat deposition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FD02E9">
        <w:rPr>
          <w:b/>
          <w:bCs/>
          <w:sz w:val="28"/>
          <w:szCs w:val="28"/>
          <w:lang w:bidi="ar-IQ"/>
        </w:rPr>
        <w:t>Clinical signs</w:t>
      </w:r>
      <w:r w:rsidRPr="000B45F2">
        <w:rPr>
          <w:sz w:val="28"/>
          <w:szCs w:val="28"/>
          <w:lang w:bidi="ar-IQ"/>
        </w:rPr>
        <w:t xml:space="preserve">: Bovine </w:t>
      </w:r>
      <w:proofErr w:type="spellStart"/>
      <w:r w:rsidRPr="000B45F2">
        <w:rPr>
          <w:sz w:val="28"/>
          <w:szCs w:val="28"/>
          <w:lang w:bidi="ar-IQ"/>
        </w:rPr>
        <w:t>ostertagiosis</w:t>
      </w:r>
      <w:proofErr w:type="spellEnd"/>
      <w:r w:rsidRPr="000B45F2">
        <w:rPr>
          <w:sz w:val="28"/>
          <w:szCs w:val="28"/>
          <w:lang w:bidi="ar-IQ"/>
        </w:rPr>
        <w:t xml:space="preserve"> occurs in two clinical forms. In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temperate climates with cold winters the seasonal </w:t>
      </w:r>
      <w:proofErr w:type="spellStart"/>
      <w:r w:rsidRPr="000B45F2">
        <w:rPr>
          <w:sz w:val="28"/>
          <w:szCs w:val="28"/>
          <w:lang w:bidi="ar-IQ"/>
        </w:rPr>
        <w:t>occurence</w:t>
      </w:r>
      <w:proofErr w:type="spellEnd"/>
      <w:r w:rsidRPr="000B45F2">
        <w:rPr>
          <w:sz w:val="28"/>
          <w:szCs w:val="28"/>
          <w:lang w:bidi="ar-IQ"/>
        </w:rPr>
        <w:t xml:space="preserve"> of these is as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follows</w:t>
      </w:r>
      <w:r w:rsidRPr="000B45F2">
        <w:rPr>
          <w:rFonts w:cs="Arial"/>
          <w:sz w:val="28"/>
          <w:szCs w:val="28"/>
          <w:rtl/>
          <w:lang w:bidi="ar-IQ"/>
        </w:rPr>
        <w:t>: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Type I disease is usually seen in calves grazed intensively during their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first grazing season, as the resu</w:t>
      </w:r>
      <w:r w:rsidR="00FD02E9">
        <w:rPr>
          <w:sz w:val="28"/>
          <w:szCs w:val="28"/>
          <w:lang w:bidi="ar-IQ"/>
        </w:rPr>
        <w:t xml:space="preserve">lt of larvae ingested 3–4 weeks </w:t>
      </w:r>
      <w:r w:rsidRPr="000B45F2">
        <w:rPr>
          <w:sz w:val="28"/>
          <w:szCs w:val="28"/>
          <w:lang w:bidi="ar-IQ"/>
        </w:rPr>
        <w:t>previously</w:t>
      </w:r>
      <w:r w:rsidRPr="000B45F2">
        <w:rPr>
          <w:rFonts w:cs="Arial"/>
          <w:sz w:val="28"/>
          <w:szCs w:val="28"/>
          <w:rtl/>
          <w:lang w:bidi="ar-IQ"/>
        </w:rPr>
        <w:t>;</w:t>
      </w:r>
      <w:r w:rsidR="00FD02E9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in the northern hemisphere this normally occurs from mid-July onwards</w:t>
      </w:r>
      <w:r w:rsidRPr="000B45F2">
        <w:rPr>
          <w:rFonts w:cs="Arial"/>
          <w:sz w:val="28"/>
          <w:szCs w:val="28"/>
          <w:rtl/>
          <w:lang w:bidi="ar-IQ"/>
        </w:rPr>
        <w:t>.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In type I disease, the morbidity is usually high, often exceeding 75%, but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mortality is rare provided treatment is instituted early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Type II disease occurs in yearlings, usually in late winter or spring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following their first grazing season and results from the maturation of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larvae ingested during the previous autumn and subsequently become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arrested in their development at the EL4 stage. </w:t>
      </w:r>
      <w:proofErr w:type="spellStart"/>
      <w:r w:rsidRPr="000B45F2">
        <w:rPr>
          <w:sz w:val="28"/>
          <w:szCs w:val="28"/>
          <w:lang w:bidi="ar-IQ"/>
        </w:rPr>
        <w:t>Hypoalbuminaemia</w:t>
      </w:r>
      <w:proofErr w:type="spellEnd"/>
      <w:r w:rsidRPr="000B45F2">
        <w:rPr>
          <w:sz w:val="28"/>
          <w:szCs w:val="28"/>
          <w:lang w:bidi="ar-IQ"/>
        </w:rPr>
        <w:t xml:space="preserve"> is more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marked, often leading to submandibular </w:t>
      </w:r>
      <w:proofErr w:type="spellStart"/>
      <w:r w:rsidRPr="000B45F2">
        <w:rPr>
          <w:sz w:val="28"/>
          <w:szCs w:val="28"/>
          <w:lang w:bidi="ar-IQ"/>
        </w:rPr>
        <w:t>oedema</w:t>
      </w:r>
      <w:proofErr w:type="spellEnd"/>
      <w:r w:rsidRPr="000B45F2">
        <w:rPr>
          <w:sz w:val="28"/>
          <w:szCs w:val="28"/>
          <w:lang w:bidi="ar-IQ"/>
        </w:rPr>
        <w:t>. In type II the prevalence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of clinical disease is comparatively low and often only a proportion of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animals in the group are affected; mortality in such animals can be high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unless early treatment with an anthelmintic effective against both arrested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and developing larval stages is instituted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The main clinical sign in both type I and type II disease is a profuse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watery </w:t>
      </w:r>
      <w:proofErr w:type="spellStart"/>
      <w:r w:rsidRPr="000B45F2">
        <w:rPr>
          <w:sz w:val="28"/>
          <w:szCs w:val="28"/>
          <w:lang w:bidi="ar-IQ"/>
        </w:rPr>
        <w:t>diarrhoea</w:t>
      </w:r>
      <w:proofErr w:type="spellEnd"/>
      <w:r w:rsidRPr="000B45F2">
        <w:rPr>
          <w:sz w:val="28"/>
          <w:szCs w:val="28"/>
          <w:lang w:bidi="ar-IQ"/>
        </w:rPr>
        <w:t xml:space="preserve"> and in type I, where calves are at grass, this is usually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persistent and has a characteristic bright green </w:t>
      </w:r>
      <w:proofErr w:type="spellStart"/>
      <w:r w:rsidRPr="000B45F2">
        <w:rPr>
          <w:sz w:val="28"/>
          <w:szCs w:val="28"/>
          <w:lang w:bidi="ar-IQ"/>
        </w:rPr>
        <w:t>colour</w:t>
      </w:r>
      <w:proofErr w:type="spellEnd"/>
      <w:r w:rsidRPr="000B45F2">
        <w:rPr>
          <w:sz w:val="28"/>
          <w:szCs w:val="28"/>
          <w:lang w:bidi="ar-IQ"/>
        </w:rPr>
        <w:t>. In contrast, in the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majority of animals with type II, the </w:t>
      </w:r>
      <w:proofErr w:type="spellStart"/>
      <w:r w:rsidRPr="000B45F2">
        <w:rPr>
          <w:sz w:val="28"/>
          <w:szCs w:val="28"/>
          <w:lang w:bidi="ar-IQ"/>
        </w:rPr>
        <w:t>diarrhoea</w:t>
      </w:r>
      <w:proofErr w:type="spellEnd"/>
      <w:r w:rsidRPr="000B45F2">
        <w:rPr>
          <w:sz w:val="28"/>
          <w:szCs w:val="28"/>
          <w:lang w:bidi="ar-IQ"/>
        </w:rPr>
        <w:t xml:space="preserve"> is often intermittent and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anorexia and thirst are usually present. In both forms of the disease, the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loss of body weight is considerable during the clinical phase and may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reach 20% in 7–10 days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D747FB">
        <w:rPr>
          <w:b/>
          <w:bCs/>
          <w:sz w:val="28"/>
          <w:szCs w:val="28"/>
          <w:lang w:bidi="ar-IQ"/>
        </w:rPr>
        <w:lastRenderedPageBreak/>
        <w:t>Diagnosis</w:t>
      </w:r>
      <w:r w:rsidRPr="000B45F2">
        <w:rPr>
          <w:sz w:val="28"/>
          <w:szCs w:val="28"/>
          <w:lang w:bidi="ar-IQ"/>
        </w:rPr>
        <w:t>: In young animals this is based on</w:t>
      </w:r>
      <w:r w:rsidRPr="000B45F2">
        <w:rPr>
          <w:rFonts w:cs="Arial"/>
          <w:sz w:val="28"/>
          <w:szCs w:val="28"/>
          <w:rtl/>
          <w:lang w:bidi="ar-IQ"/>
        </w:rPr>
        <w:t>: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rFonts w:cs="Arial"/>
          <w:sz w:val="28"/>
          <w:szCs w:val="28"/>
          <w:rtl/>
          <w:lang w:bidi="ar-IQ"/>
        </w:rPr>
        <w:t xml:space="preserve">1. </w:t>
      </w:r>
      <w:r w:rsidRPr="000B45F2">
        <w:rPr>
          <w:sz w:val="28"/>
          <w:szCs w:val="28"/>
          <w:lang w:bidi="ar-IQ"/>
        </w:rPr>
        <w:t xml:space="preserve">The clinical signs of </w:t>
      </w:r>
      <w:proofErr w:type="spellStart"/>
      <w:r w:rsidRPr="000B45F2">
        <w:rPr>
          <w:sz w:val="28"/>
          <w:szCs w:val="28"/>
          <w:lang w:bidi="ar-IQ"/>
        </w:rPr>
        <w:t>inappetence</w:t>
      </w:r>
      <w:proofErr w:type="spellEnd"/>
      <w:r w:rsidRPr="000B45F2">
        <w:rPr>
          <w:sz w:val="28"/>
          <w:szCs w:val="28"/>
          <w:lang w:bidi="ar-IQ"/>
        </w:rPr>
        <w:t xml:space="preserve">, weight loss and </w:t>
      </w:r>
      <w:proofErr w:type="spellStart"/>
      <w:r w:rsidRPr="000B45F2">
        <w:rPr>
          <w:sz w:val="28"/>
          <w:szCs w:val="28"/>
          <w:lang w:bidi="ar-IQ"/>
        </w:rPr>
        <w:t>diarrhoea</w:t>
      </w:r>
      <w:proofErr w:type="spellEnd"/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rFonts w:cs="Arial"/>
          <w:sz w:val="28"/>
          <w:szCs w:val="28"/>
          <w:rtl/>
          <w:lang w:bidi="ar-IQ"/>
        </w:rPr>
        <w:t xml:space="preserve">2. </w:t>
      </w:r>
      <w:r w:rsidRPr="000B45F2">
        <w:rPr>
          <w:sz w:val="28"/>
          <w:szCs w:val="28"/>
          <w:lang w:bidi="ar-IQ"/>
        </w:rPr>
        <w:t>The season. For example, in Europe type I occurs from July until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September and type II from March to May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D747FB" w:rsidP="004F0072">
      <w:pPr>
        <w:bidi w:val="0"/>
        <w:jc w:val="both"/>
        <w:rPr>
          <w:sz w:val="28"/>
          <w:szCs w:val="28"/>
          <w:lang w:bidi="ar-IQ"/>
        </w:rPr>
      </w:pPr>
      <w:r>
        <w:rPr>
          <w:rFonts w:cs="Arial"/>
          <w:sz w:val="28"/>
          <w:szCs w:val="28"/>
          <w:rtl/>
          <w:lang w:bidi="ar-IQ"/>
        </w:rPr>
        <w:t>3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="000B45F2" w:rsidRPr="000B45F2">
        <w:rPr>
          <w:rFonts w:cs="Arial"/>
          <w:sz w:val="28"/>
          <w:szCs w:val="28"/>
          <w:rtl/>
          <w:lang w:bidi="ar-IQ"/>
        </w:rPr>
        <w:t xml:space="preserve"> </w:t>
      </w:r>
      <w:r w:rsidR="000B45F2" w:rsidRPr="000B45F2">
        <w:rPr>
          <w:sz w:val="28"/>
          <w:szCs w:val="28"/>
          <w:lang w:bidi="ar-IQ"/>
        </w:rPr>
        <w:t>The grazing history. In type I disease, the calves have usually</w:t>
      </w:r>
      <w:r>
        <w:rPr>
          <w:sz w:val="28"/>
          <w:szCs w:val="28"/>
          <w:lang w:bidi="ar-IQ"/>
        </w:rPr>
        <w:t xml:space="preserve"> </w:t>
      </w:r>
      <w:r w:rsidR="000B45F2" w:rsidRPr="000B45F2">
        <w:rPr>
          <w:sz w:val="28"/>
          <w:szCs w:val="28"/>
          <w:lang w:bidi="ar-IQ"/>
        </w:rPr>
        <w:t>been set-stocked in one area for several months; in contrast, type II</w:t>
      </w:r>
      <w:r>
        <w:rPr>
          <w:sz w:val="28"/>
          <w:szCs w:val="28"/>
          <w:lang w:bidi="ar-IQ"/>
        </w:rPr>
        <w:t xml:space="preserve"> </w:t>
      </w:r>
      <w:r w:rsidR="000B45F2" w:rsidRPr="000B45F2">
        <w:rPr>
          <w:sz w:val="28"/>
          <w:szCs w:val="28"/>
          <w:lang w:bidi="ar-IQ"/>
        </w:rPr>
        <w:t>disease often has a typical history of calves being grazed on a field</w:t>
      </w:r>
      <w:r>
        <w:rPr>
          <w:sz w:val="28"/>
          <w:szCs w:val="28"/>
          <w:lang w:bidi="ar-IQ"/>
        </w:rPr>
        <w:t xml:space="preserve"> </w:t>
      </w:r>
      <w:r w:rsidR="000B45F2" w:rsidRPr="000B45F2">
        <w:rPr>
          <w:sz w:val="28"/>
          <w:szCs w:val="28"/>
          <w:lang w:bidi="ar-IQ"/>
        </w:rPr>
        <w:t>from spring to mid-summer, then moved and brought back to the</w:t>
      </w:r>
      <w:r>
        <w:rPr>
          <w:sz w:val="28"/>
          <w:szCs w:val="28"/>
          <w:lang w:bidi="ar-IQ"/>
        </w:rPr>
        <w:t xml:space="preserve"> </w:t>
      </w:r>
      <w:r w:rsidR="000B45F2" w:rsidRPr="000B45F2">
        <w:rPr>
          <w:sz w:val="28"/>
          <w:szCs w:val="28"/>
          <w:lang w:bidi="ar-IQ"/>
        </w:rPr>
        <w:t>original field in the autumn. Affected farms usually also have a</w:t>
      </w:r>
      <w:r>
        <w:rPr>
          <w:sz w:val="28"/>
          <w:szCs w:val="28"/>
          <w:lang w:bidi="ar-IQ"/>
        </w:rPr>
        <w:t xml:space="preserve"> </w:t>
      </w:r>
      <w:r w:rsidR="000B45F2" w:rsidRPr="000B45F2">
        <w:rPr>
          <w:sz w:val="28"/>
          <w:szCs w:val="28"/>
          <w:lang w:bidi="ar-IQ"/>
        </w:rPr>
        <w:t xml:space="preserve">history of </w:t>
      </w:r>
      <w:proofErr w:type="spellStart"/>
      <w:r w:rsidR="000B45F2" w:rsidRPr="000B45F2">
        <w:rPr>
          <w:sz w:val="28"/>
          <w:szCs w:val="28"/>
          <w:lang w:bidi="ar-IQ"/>
        </w:rPr>
        <w:t>ostertagiosis</w:t>
      </w:r>
      <w:proofErr w:type="spellEnd"/>
      <w:r w:rsidR="000B45F2" w:rsidRPr="000B45F2">
        <w:rPr>
          <w:sz w:val="28"/>
          <w:szCs w:val="28"/>
          <w:lang w:bidi="ar-IQ"/>
        </w:rPr>
        <w:t xml:space="preserve"> in previous years</w:t>
      </w:r>
      <w:r w:rsidR="000B45F2"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rFonts w:cs="Arial"/>
          <w:sz w:val="28"/>
          <w:szCs w:val="28"/>
          <w:rtl/>
          <w:lang w:bidi="ar-IQ"/>
        </w:rPr>
        <w:t xml:space="preserve">4. </w:t>
      </w:r>
      <w:proofErr w:type="spellStart"/>
      <w:r w:rsidRPr="000B45F2">
        <w:rPr>
          <w:sz w:val="28"/>
          <w:szCs w:val="28"/>
          <w:lang w:bidi="ar-IQ"/>
        </w:rPr>
        <w:t>Faecal</w:t>
      </w:r>
      <w:proofErr w:type="spellEnd"/>
      <w:r w:rsidRPr="000B45F2">
        <w:rPr>
          <w:sz w:val="28"/>
          <w:szCs w:val="28"/>
          <w:lang w:bidi="ar-IQ"/>
        </w:rPr>
        <w:t xml:space="preserve"> egg counts. In type I disease these are usually more than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rFonts w:cs="Arial"/>
          <w:sz w:val="28"/>
          <w:szCs w:val="28"/>
          <w:rtl/>
          <w:lang w:bidi="ar-IQ"/>
        </w:rPr>
        <w:t xml:space="preserve">1000 </w:t>
      </w:r>
      <w:r w:rsidRPr="000B45F2">
        <w:rPr>
          <w:sz w:val="28"/>
          <w:szCs w:val="28"/>
          <w:lang w:bidi="ar-IQ"/>
        </w:rPr>
        <w:t>eggs per gram (</w:t>
      </w:r>
      <w:proofErr w:type="spellStart"/>
      <w:r w:rsidRPr="000B45F2">
        <w:rPr>
          <w:sz w:val="28"/>
          <w:szCs w:val="28"/>
          <w:lang w:bidi="ar-IQ"/>
        </w:rPr>
        <w:t>epg</w:t>
      </w:r>
      <w:proofErr w:type="spellEnd"/>
      <w:r w:rsidRPr="000B45F2">
        <w:rPr>
          <w:sz w:val="28"/>
          <w:szCs w:val="28"/>
          <w:lang w:bidi="ar-IQ"/>
        </w:rPr>
        <w:t>) and are a useful aid to diagnosis; in type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II the count is highly variable, may even be negative and is of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limited value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jc w:val="both"/>
        <w:rPr>
          <w:sz w:val="28"/>
          <w:szCs w:val="28"/>
          <w:lang w:bidi="ar-IQ"/>
        </w:rPr>
      </w:pPr>
      <w:r w:rsidRPr="000B45F2">
        <w:rPr>
          <w:rFonts w:cs="Arial"/>
          <w:sz w:val="28"/>
          <w:szCs w:val="28"/>
          <w:rtl/>
          <w:lang w:bidi="ar-IQ"/>
        </w:rPr>
        <w:t xml:space="preserve">5. </w:t>
      </w:r>
      <w:r w:rsidRPr="000B45F2">
        <w:rPr>
          <w:sz w:val="28"/>
          <w:szCs w:val="28"/>
          <w:lang w:bidi="ar-IQ"/>
        </w:rPr>
        <w:t>Plasma pepsinogen levels. In clinically affected animals up to 2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years old these are usually in excess of 3.0 IU tyrosine (normal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levels are 1.0 IU in non-</w:t>
      </w:r>
      <w:proofErr w:type="spellStart"/>
      <w:r w:rsidRPr="000B45F2">
        <w:rPr>
          <w:sz w:val="28"/>
          <w:szCs w:val="28"/>
          <w:lang w:bidi="ar-IQ"/>
        </w:rPr>
        <w:t>parasitised</w:t>
      </w:r>
      <w:proofErr w:type="spellEnd"/>
      <w:r w:rsidRPr="000B45F2">
        <w:rPr>
          <w:sz w:val="28"/>
          <w:szCs w:val="28"/>
          <w:lang w:bidi="ar-IQ"/>
        </w:rPr>
        <w:t xml:space="preserve"> calves). The test is less reliable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in older cattle where high values are not necessarily correlated with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large adult worm burdens but, instead, may reflect plasma leakage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from a hypersensitive mucosa under heavy larval challenge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  <w:r w:rsidRPr="000B45F2">
        <w:rPr>
          <w:rFonts w:cs="Arial"/>
          <w:sz w:val="28"/>
          <w:szCs w:val="28"/>
          <w:rtl/>
          <w:lang w:bidi="ar-IQ"/>
        </w:rPr>
        <w:t xml:space="preserve">6. </w:t>
      </w:r>
      <w:r w:rsidRPr="000B45F2">
        <w:rPr>
          <w:sz w:val="28"/>
          <w:szCs w:val="28"/>
          <w:lang w:bidi="ar-IQ"/>
        </w:rPr>
        <w:t>Postmortem examination. Adult worms can be seen on close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inspection of the </w:t>
      </w:r>
      <w:proofErr w:type="spellStart"/>
      <w:r w:rsidRPr="000B45F2">
        <w:rPr>
          <w:sz w:val="28"/>
          <w:szCs w:val="28"/>
          <w:lang w:bidi="ar-IQ"/>
        </w:rPr>
        <w:t>abomasal</w:t>
      </w:r>
      <w:proofErr w:type="spellEnd"/>
      <w:r w:rsidRPr="000B45F2">
        <w:rPr>
          <w:sz w:val="28"/>
          <w:szCs w:val="28"/>
          <w:lang w:bidi="ar-IQ"/>
        </w:rPr>
        <w:t xml:space="preserve"> surface. Adult worm burdens are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typically in excess of 40 000, although lower numbers are often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found in animals which have been </w:t>
      </w:r>
      <w:proofErr w:type="spellStart"/>
      <w:r w:rsidRPr="000B45F2">
        <w:rPr>
          <w:sz w:val="28"/>
          <w:szCs w:val="28"/>
          <w:lang w:bidi="ar-IQ"/>
        </w:rPr>
        <w:t>diarrhoeic</w:t>
      </w:r>
      <w:proofErr w:type="spellEnd"/>
      <w:r w:rsidRPr="000B45F2">
        <w:rPr>
          <w:sz w:val="28"/>
          <w:szCs w:val="28"/>
          <w:lang w:bidi="ar-IQ"/>
        </w:rPr>
        <w:t xml:space="preserve"> for several days prior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to necropsy. Species differentiation is based on the structure of the</w:t>
      </w:r>
      <w:r w:rsidR="00D747FB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male spicules (Fig. 2.3</w:t>
      </w:r>
      <w:r w:rsidR="00D747FB">
        <w:rPr>
          <w:rFonts w:cs="Arial"/>
          <w:sz w:val="28"/>
          <w:szCs w:val="28"/>
          <w:lang w:bidi="ar-IQ"/>
        </w:rPr>
        <w:t>).</w:t>
      </w:r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In older animals, laboratory diagnosis is more difficult since </w:t>
      </w:r>
      <w:proofErr w:type="spellStart"/>
      <w:r w:rsidRPr="000B45F2">
        <w:rPr>
          <w:sz w:val="28"/>
          <w:szCs w:val="28"/>
          <w:lang w:bidi="ar-IQ"/>
        </w:rPr>
        <w:t>faecal</w:t>
      </w:r>
      <w:proofErr w:type="spellEnd"/>
      <w:r w:rsidRPr="000B45F2">
        <w:rPr>
          <w:sz w:val="28"/>
          <w:szCs w:val="28"/>
          <w:lang w:bidi="ar-IQ"/>
        </w:rPr>
        <w:t xml:space="preserve"> egg</w:t>
      </w:r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counts and plasma pepsinogen levels are less reliable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EE0312" w:rsidRDefault="000B45F2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D747FB">
        <w:rPr>
          <w:b/>
          <w:bCs/>
          <w:sz w:val="28"/>
          <w:szCs w:val="28"/>
          <w:lang w:bidi="ar-IQ"/>
        </w:rPr>
        <w:t>Pathology</w:t>
      </w:r>
      <w:r w:rsidRPr="000B45F2">
        <w:rPr>
          <w:sz w:val="28"/>
          <w:szCs w:val="28"/>
          <w:lang w:bidi="ar-IQ"/>
        </w:rPr>
        <w:t>: The developing parasites cause a reduction in the functional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gastric gland mass; in particular the parietal cells, which produce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hydrochloric acid, are replaced by rapidly dividing, undifferentiated</w:t>
      </w:r>
      <w:r w:rsidRPr="000B45F2">
        <w:rPr>
          <w:rFonts w:cs="Arial"/>
          <w:sz w:val="28"/>
          <w:szCs w:val="28"/>
          <w:rtl/>
          <w:lang w:bidi="ar-IQ"/>
        </w:rPr>
        <w:t>,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non-acid-secreting cells. Initially, these cellular changes occur in the</w:t>
      </w:r>
      <w:r w:rsidR="00EE0312">
        <w:rPr>
          <w:sz w:val="28"/>
          <w:szCs w:val="28"/>
          <w:lang w:bidi="ar-IQ"/>
        </w:rPr>
        <w:t xml:space="preserve"> </w:t>
      </w:r>
      <w:proofErr w:type="spellStart"/>
      <w:r w:rsidRPr="000B45F2">
        <w:rPr>
          <w:sz w:val="28"/>
          <w:szCs w:val="28"/>
          <w:lang w:bidi="ar-IQ"/>
        </w:rPr>
        <w:t>parasitised</w:t>
      </w:r>
      <w:proofErr w:type="spellEnd"/>
      <w:r w:rsidRPr="000B45F2">
        <w:rPr>
          <w:sz w:val="28"/>
          <w:szCs w:val="28"/>
          <w:lang w:bidi="ar-IQ"/>
        </w:rPr>
        <w:t xml:space="preserve"> gland (Fig. 2.4), but as it becomes distended by the growing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worm these changes spread to the surr</w:t>
      </w:r>
      <w:r w:rsidR="00EE0312">
        <w:rPr>
          <w:sz w:val="28"/>
          <w:szCs w:val="28"/>
          <w:lang w:bidi="ar-IQ"/>
        </w:rPr>
        <w:t>ounding non-</w:t>
      </w:r>
      <w:proofErr w:type="spellStart"/>
      <w:r w:rsidR="00EE0312">
        <w:rPr>
          <w:sz w:val="28"/>
          <w:szCs w:val="28"/>
          <w:lang w:bidi="ar-IQ"/>
        </w:rPr>
        <w:t>parasitised</w:t>
      </w:r>
      <w:proofErr w:type="spellEnd"/>
      <w:r w:rsidR="00EE0312">
        <w:rPr>
          <w:sz w:val="28"/>
          <w:szCs w:val="28"/>
          <w:lang w:bidi="ar-IQ"/>
        </w:rPr>
        <w:t xml:space="preserve"> glands, </w:t>
      </w:r>
      <w:r w:rsidRPr="000B45F2">
        <w:rPr>
          <w:sz w:val="28"/>
          <w:szCs w:val="28"/>
          <w:lang w:bidi="ar-IQ"/>
        </w:rPr>
        <w:t>the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end result being a thickened hyperplastic gastric mucosa</w:t>
      </w:r>
      <w:r w:rsidRPr="000B45F2">
        <w:rPr>
          <w:rFonts w:cs="Arial"/>
          <w:sz w:val="28"/>
          <w:szCs w:val="28"/>
          <w:rtl/>
          <w:lang w:bidi="ar-IQ"/>
        </w:rPr>
        <w:t>.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>Macroscopically, the lesion is a raised nodule with a visible central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orifice; in heavy infections these nodules </w:t>
      </w:r>
      <w:r w:rsidRPr="000B45F2">
        <w:rPr>
          <w:sz w:val="28"/>
          <w:szCs w:val="28"/>
          <w:lang w:bidi="ar-IQ"/>
        </w:rPr>
        <w:lastRenderedPageBreak/>
        <w:t>coalesce to produce an effect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reminiscent of morocco leather (Fig. 2.5). The </w:t>
      </w:r>
      <w:proofErr w:type="spellStart"/>
      <w:r w:rsidRPr="000B45F2">
        <w:rPr>
          <w:sz w:val="28"/>
          <w:szCs w:val="28"/>
          <w:lang w:bidi="ar-IQ"/>
        </w:rPr>
        <w:t>abomasal</w:t>
      </w:r>
      <w:proofErr w:type="spellEnd"/>
      <w:r w:rsidRPr="000B45F2">
        <w:rPr>
          <w:sz w:val="28"/>
          <w:szCs w:val="28"/>
          <w:lang w:bidi="ar-IQ"/>
        </w:rPr>
        <w:t xml:space="preserve"> folds are often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very </w:t>
      </w:r>
      <w:proofErr w:type="spellStart"/>
      <w:r w:rsidRPr="000B45F2">
        <w:rPr>
          <w:sz w:val="28"/>
          <w:szCs w:val="28"/>
          <w:lang w:bidi="ar-IQ"/>
        </w:rPr>
        <w:t>oedematous</w:t>
      </w:r>
      <w:proofErr w:type="spellEnd"/>
      <w:r w:rsidRPr="000B45F2">
        <w:rPr>
          <w:sz w:val="28"/>
          <w:szCs w:val="28"/>
          <w:lang w:bidi="ar-IQ"/>
        </w:rPr>
        <w:t xml:space="preserve"> and </w:t>
      </w:r>
      <w:proofErr w:type="spellStart"/>
      <w:r w:rsidRPr="000B45F2">
        <w:rPr>
          <w:sz w:val="28"/>
          <w:szCs w:val="28"/>
          <w:lang w:bidi="ar-IQ"/>
        </w:rPr>
        <w:t>hypera</w:t>
      </w:r>
      <w:r w:rsidR="00EE0312">
        <w:rPr>
          <w:sz w:val="28"/>
          <w:szCs w:val="28"/>
          <w:lang w:bidi="ar-IQ"/>
        </w:rPr>
        <w:t>emic</w:t>
      </w:r>
      <w:proofErr w:type="spellEnd"/>
      <w:r w:rsidR="00EE0312">
        <w:rPr>
          <w:sz w:val="28"/>
          <w:szCs w:val="28"/>
          <w:lang w:bidi="ar-IQ"/>
        </w:rPr>
        <w:t xml:space="preserve"> and sometimes necrosis and </w:t>
      </w:r>
      <w:r w:rsidRPr="000B45F2">
        <w:rPr>
          <w:sz w:val="28"/>
          <w:szCs w:val="28"/>
          <w:lang w:bidi="ar-IQ"/>
        </w:rPr>
        <w:t>sloughing</w:t>
      </w:r>
      <w:r w:rsidR="00EE0312">
        <w:rPr>
          <w:sz w:val="28"/>
          <w:szCs w:val="28"/>
          <w:lang w:bidi="ar-IQ"/>
        </w:rPr>
        <w:t xml:space="preserve"> </w:t>
      </w:r>
      <w:r w:rsidRPr="000B45F2">
        <w:rPr>
          <w:sz w:val="28"/>
          <w:szCs w:val="28"/>
          <w:lang w:bidi="ar-IQ"/>
        </w:rPr>
        <w:t xml:space="preserve">of the mucosal surface occurs </w:t>
      </w:r>
      <w:r w:rsidR="00EE0312">
        <w:rPr>
          <w:sz w:val="28"/>
          <w:szCs w:val="28"/>
          <w:lang w:bidi="ar-IQ"/>
        </w:rPr>
        <w:t>.</w:t>
      </w:r>
    </w:p>
    <w:p w:rsidR="00EE0312" w:rsidRDefault="00EE0312" w:rsidP="00DD6DBE">
      <w:pPr>
        <w:bidi w:val="0"/>
        <w:spacing w:after="0"/>
        <w:jc w:val="center"/>
        <w:rPr>
          <w:sz w:val="28"/>
          <w:szCs w:val="28"/>
          <w:lang w:bidi="ar-IQ"/>
        </w:rPr>
      </w:pPr>
      <w:r w:rsidRPr="00EE0312">
        <w:rPr>
          <w:sz w:val="28"/>
          <w:szCs w:val="28"/>
          <w:lang w:bidi="ar-IQ"/>
        </w:rPr>
        <w:t xml:space="preserve">Fig. 2.4 </w:t>
      </w:r>
      <w:proofErr w:type="spellStart"/>
      <w:r w:rsidRPr="00EE0312">
        <w:rPr>
          <w:sz w:val="28"/>
          <w:szCs w:val="28"/>
          <w:lang w:bidi="ar-IQ"/>
        </w:rPr>
        <w:t>Ostertagia</w:t>
      </w:r>
      <w:proofErr w:type="spellEnd"/>
      <w:r w:rsidRPr="00EE0312">
        <w:rPr>
          <w:sz w:val="28"/>
          <w:szCs w:val="28"/>
          <w:lang w:bidi="ar-IQ"/>
        </w:rPr>
        <w:t xml:space="preserve"> </w:t>
      </w:r>
      <w:proofErr w:type="spellStart"/>
      <w:r w:rsidRPr="00EE0312">
        <w:rPr>
          <w:sz w:val="28"/>
          <w:szCs w:val="28"/>
          <w:lang w:bidi="ar-IQ"/>
        </w:rPr>
        <w:t>ostertagi</w:t>
      </w:r>
      <w:proofErr w:type="spellEnd"/>
      <w:r w:rsidRPr="00EE0312">
        <w:rPr>
          <w:sz w:val="28"/>
          <w:szCs w:val="28"/>
          <w:lang w:bidi="ar-IQ"/>
        </w:rPr>
        <w:t xml:space="preserve"> emerging from a gastric gland.</w:t>
      </w:r>
    </w:p>
    <w:p w:rsidR="00EE0312" w:rsidRPr="000B45F2" w:rsidRDefault="00EE0312" w:rsidP="00DD6DBE">
      <w:pPr>
        <w:bidi w:val="0"/>
        <w:spacing w:after="0"/>
        <w:jc w:val="center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drawing>
          <wp:inline distT="0" distB="0" distL="0" distR="0" wp14:anchorId="2303234A" wp14:editId="4A6D8913">
            <wp:extent cx="3077845" cy="2026920"/>
            <wp:effectExtent l="0" t="0" r="825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F2" w:rsidRPr="000B45F2" w:rsidRDefault="000B45F2" w:rsidP="004F0072">
      <w:pPr>
        <w:bidi w:val="0"/>
        <w:spacing w:after="0"/>
        <w:rPr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>Fig. 2.5 Abomasum showing the characteristic nodules produced by the</w:t>
      </w:r>
    </w:p>
    <w:p w:rsidR="000B45F2" w:rsidRDefault="000B45F2" w:rsidP="004F0072">
      <w:pPr>
        <w:bidi w:val="0"/>
        <w:spacing w:after="0"/>
        <w:rPr>
          <w:rFonts w:cs="Arial"/>
          <w:sz w:val="28"/>
          <w:szCs w:val="28"/>
          <w:lang w:bidi="ar-IQ"/>
        </w:rPr>
      </w:pPr>
      <w:r w:rsidRPr="000B45F2">
        <w:rPr>
          <w:sz w:val="28"/>
          <w:szCs w:val="28"/>
          <w:lang w:bidi="ar-IQ"/>
        </w:rPr>
        <w:t xml:space="preserve">development of O. </w:t>
      </w:r>
      <w:proofErr w:type="spellStart"/>
      <w:r w:rsidRPr="000B45F2">
        <w:rPr>
          <w:sz w:val="28"/>
          <w:szCs w:val="28"/>
          <w:lang w:bidi="ar-IQ"/>
        </w:rPr>
        <w:t>ostertagi</w:t>
      </w:r>
      <w:proofErr w:type="spellEnd"/>
      <w:r w:rsidRPr="000B45F2">
        <w:rPr>
          <w:sz w:val="28"/>
          <w:szCs w:val="28"/>
          <w:lang w:bidi="ar-IQ"/>
        </w:rPr>
        <w:t xml:space="preserve"> larvae in the gastric glands</w:t>
      </w:r>
      <w:r w:rsidRPr="000B45F2">
        <w:rPr>
          <w:rFonts w:cs="Arial"/>
          <w:sz w:val="28"/>
          <w:szCs w:val="28"/>
          <w:rtl/>
          <w:lang w:bidi="ar-IQ"/>
        </w:rPr>
        <w:t>.</w:t>
      </w:r>
    </w:p>
    <w:p w:rsidR="00EE0312" w:rsidRPr="00EE0312" w:rsidRDefault="00EE0312" w:rsidP="00DD6DBE">
      <w:pPr>
        <w:bidi w:val="0"/>
        <w:jc w:val="center"/>
        <w:rPr>
          <w:rFonts w:cs="Arial"/>
          <w:sz w:val="28"/>
          <w:szCs w:val="28"/>
          <w:lang w:bidi="ar-IQ"/>
        </w:rPr>
      </w:pPr>
      <w:r>
        <w:rPr>
          <w:rFonts w:cs="Arial"/>
          <w:noProof/>
          <w:sz w:val="28"/>
          <w:szCs w:val="28"/>
        </w:rPr>
        <w:drawing>
          <wp:inline distT="0" distB="0" distL="0" distR="0" wp14:anchorId="67308AC5" wp14:editId="4C48A4D9">
            <wp:extent cx="3077845" cy="2060575"/>
            <wp:effectExtent l="0" t="0" r="825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F2" w:rsidRPr="000B45F2" w:rsidRDefault="000B45F2" w:rsidP="004F0072">
      <w:pPr>
        <w:bidi w:val="0"/>
        <w:rPr>
          <w:sz w:val="28"/>
          <w:szCs w:val="28"/>
          <w:lang w:bidi="ar-IQ"/>
        </w:rPr>
      </w:pPr>
    </w:p>
    <w:p w:rsidR="007348E0" w:rsidRPr="007348E0" w:rsidRDefault="007348E0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4909C3">
        <w:rPr>
          <w:b/>
          <w:bCs/>
          <w:sz w:val="28"/>
          <w:szCs w:val="28"/>
          <w:lang w:bidi="ar-IQ"/>
        </w:rPr>
        <w:t>Treatment</w:t>
      </w:r>
      <w:r w:rsidRPr="007348E0">
        <w:rPr>
          <w:sz w:val="28"/>
          <w:szCs w:val="28"/>
          <w:lang w:bidi="ar-IQ"/>
        </w:rPr>
        <w:t>: Type I disease responds well to treatment at the standard</w:t>
      </w:r>
      <w:r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 xml:space="preserve">dosage rates with any of the modern </w:t>
      </w:r>
      <w:proofErr w:type="spellStart"/>
      <w:r w:rsidRPr="007348E0">
        <w:rPr>
          <w:sz w:val="28"/>
          <w:szCs w:val="28"/>
          <w:lang w:bidi="ar-IQ"/>
        </w:rPr>
        <w:t>benzimidazoles</w:t>
      </w:r>
      <w:proofErr w:type="spellEnd"/>
      <w:r w:rsidRPr="007348E0">
        <w:rPr>
          <w:sz w:val="28"/>
          <w:szCs w:val="28"/>
          <w:lang w:bidi="ar-IQ"/>
        </w:rPr>
        <w:t>, the</w:t>
      </w:r>
      <w:r>
        <w:rPr>
          <w:sz w:val="28"/>
          <w:szCs w:val="28"/>
          <w:lang w:bidi="ar-IQ"/>
        </w:rPr>
        <w:t xml:space="preserve"> </w:t>
      </w:r>
      <w:r w:rsidR="004909C3">
        <w:rPr>
          <w:sz w:val="28"/>
          <w:szCs w:val="28"/>
          <w:lang w:bidi="ar-IQ"/>
        </w:rPr>
        <w:t xml:space="preserve">pro </w:t>
      </w:r>
      <w:proofErr w:type="spellStart"/>
      <w:r w:rsidRPr="007348E0">
        <w:rPr>
          <w:sz w:val="28"/>
          <w:szCs w:val="28"/>
          <w:lang w:bidi="ar-IQ"/>
        </w:rPr>
        <w:t>benzimidazoles</w:t>
      </w:r>
      <w:proofErr w:type="spellEnd"/>
      <w:r w:rsidRPr="007348E0">
        <w:rPr>
          <w:sz w:val="28"/>
          <w:szCs w:val="28"/>
          <w:lang w:bidi="ar-IQ"/>
        </w:rPr>
        <w:t xml:space="preserve"> (</w:t>
      </w:r>
      <w:proofErr w:type="spellStart"/>
      <w:r w:rsidRPr="007348E0">
        <w:rPr>
          <w:sz w:val="28"/>
          <w:szCs w:val="28"/>
          <w:lang w:bidi="ar-IQ"/>
        </w:rPr>
        <w:t>febantel</w:t>
      </w:r>
      <w:proofErr w:type="spellEnd"/>
      <w:r w:rsidRPr="007348E0">
        <w:rPr>
          <w:sz w:val="28"/>
          <w:szCs w:val="28"/>
          <w:lang w:bidi="ar-IQ"/>
        </w:rPr>
        <w:t xml:space="preserve">, </w:t>
      </w:r>
      <w:proofErr w:type="spellStart"/>
      <w:r w:rsidRPr="007348E0">
        <w:rPr>
          <w:sz w:val="28"/>
          <w:szCs w:val="28"/>
          <w:lang w:bidi="ar-IQ"/>
        </w:rPr>
        <w:t>netobimin</w:t>
      </w:r>
      <w:proofErr w:type="spellEnd"/>
      <w:r w:rsidRPr="007348E0">
        <w:rPr>
          <w:sz w:val="28"/>
          <w:szCs w:val="28"/>
          <w:lang w:bidi="ar-IQ"/>
        </w:rPr>
        <w:t xml:space="preserve"> and </w:t>
      </w:r>
      <w:proofErr w:type="spellStart"/>
      <w:r w:rsidRPr="007348E0">
        <w:rPr>
          <w:sz w:val="28"/>
          <w:szCs w:val="28"/>
          <w:lang w:bidi="ar-IQ"/>
        </w:rPr>
        <w:t>thiophanate</w:t>
      </w:r>
      <w:proofErr w:type="spellEnd"/>
      <w:r w:rsidRPr="007348E0">
        <w:rPr>
          <w:sz w:val="28"/>
          <w:szCs w:val="28"/>
          <w:lang w:bidi="ar-IQ"/>
        </w:rPr>
        <w:t xml:space="preserve">), </w:t>
      </w:r>
      <w:proofErr w:type="spellStart"/>
      <w:r w:rsidRPr="007348E0">
        <w:rPr>
          <w:sz w:val="28"/>
          <w:szCs w:val="28"/>
          <w:lang w:bidi="ar-IQ"/>
        </w:rPr>
        <w:t>levamisole</w:t>
      </w:r>
      <w:proofErr w:type="spellEnd"/>
      <w:r w:rsidRPr="007348E0">
        <w:rPr>
          <w:sz w:val="28"/>
          <w:szCs w:val="28"/>
          <w:lang w:bidi="ar-IQ"/>
        </w:rPr>
        <w:t>, or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 xml:space="preserve">the </w:t>
      </w:r>
      <w:proofErr w:type="spellStart"/>
      <w:r w:rsidRPr="007348E0">
        <w:rPr>
          <w:sz w:val="28"/>
          <w:szCs w:val="28"/>
          <w:lang w:bidi="ar-IQ"/>
        </w:rPr>
        <w:t>avermectins</w:t>
      </w:r>
      <w:proofErr w:type="spellEnd"/>
      <w:r w:rsidRPr="007348E0">
        <w:rPr>
          <w:sz w:val="28"/>
          <w:szCs w:val="28"/>
          <w:lang w:bidi="ar-IQ"/>
        </w:rPr>
        <w:t>/</w:t>
      </w:r>
      <w:proofErr w:type="spellStart"/>
      <w:r w:rsidRPr="007348E0">
        <w:rPr>
          <w:sz w:val="28"/>
          <w:szCs w:val="28"/>
          <w:lang w:bidi="ar-IQ"/>
        </w:rPr>
        <w:t>milbemycins</w:t>
      </w:r>
      <w:proofErr w:type="spellEnd"/>
      <w:r w:rsidRPr="007348E0">
        <w:rPr>
          <w:sz w:val="28"/>
          <w:szCs w:val="28"/>
          <w:lang w:bidi="ar-IQ"/>
        </w:rPr>
        <w:t>. All of these drugs are effective against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developing larvae and adult stages. Following treatment, calves should be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moved to pasture which has not been grazed by cattle in the same year</w:t>
      </w:r>
      <w:r w:rsidRPr="007348E0">
        <w:rPr>
          <w:rFonts w:cs="Arial"/>
          <w:sz w:val="28"/>
          <w:szCs w:val="28"/>
          <w:rtl/>
          <w:lang w:bidi="ar-IQ"/>
        </w:rPr>
        <w:t>.</w:t>
      </w:r>
    </w:p>
    <w:p w:rsidR="004909C3" w:rsidRDefault="007348E0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7348E0">
        <w:rPr>
          <w:sz w:val="28"/>
          <w:szCs w:val="28"/>
          <w:lang w:bidi="ar-IQ"/>
        </w:rPr>
        <w:t>For the successful treatment of type II disease it is necessary to use drugs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which are effective against arrested larvae as well as developing larvae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 xml:space="preserve">and adult stages. Only the modern </w:t>
      </w:r>
      <w:proofErr w:type="spellStart"/>
      <w:r w:rsidRPr="007348E0">
        <w:rPr>
          <w:sz w:val="28"/>
          <w:szCs w:val="28"/>
          <w:lang w:bidi="ar-IQ"/>
        </w:rPr>
        <w:t>benzimidazoles</w:t>
      </w:r>
      <w:proofErr w:type="spellEnd"/>
      <w:r w:rsidRPr="007348E0">
        <w:rPr>
          <w:sz w:val="28"/>
          <w:szCs w:val="28"/>
          <w:lang w:bidi="ar-IQ"/>
        </w:rPr>
        <w:t xml:space="preserve"> (such as </w:t>
      </w:r>
      <w:proofErr w:type="spellStart"/>
      <w:r w:rsidRPr="007348E0">
        <w:rPr>
          <w:sz w:val="28"/>
          <w:szCs w:val="28"/>
          <w:lang w:bidi="ar-IQ"/>
        </w:rPr>
        <w:t>albendazole</w:t>
      </w:r>
      <w:proofErr w:type="spellEnd"/>
      <w:r w:rsidRPr="007348E0">
        <w:rPr>
          <w:rFonts w:cs="Arial"/>
          <w:sz w:val="28"/>
          <w:szCs w:val="28"/>
          <w:rtl/>
          <w:lang w:bidi="ar-IQ"/>
        </w:rPr>
        <w:t>,</w:t>
      </w:r>
      <w:r w:rsidR="004909C3">
        <w:rPr>
          <w:sz w:val="28"/>
          <w:szCs w:val="28"/>
          <w:lang w:bidi="ar-IQ"/>
        </w:rPr>
        <w:t xml:space="preserve"> </w:t>
      </w:r>
      <w:proofErr w:type="spellStart"/>
      <w:r w:rsidRPr="007348E0">
        <w:rPr>
          <w:sz w:val="28"/>
          <w:szCs w:val="28"/>
          <w:lang w:bidi="ar-IQ"/>
        </w:rPr>
        <w:t>fenb</w:t>
      </w:r>
      <w:r w:rsidR="004909C3">
        <w:rPr>
          <w:sz w:val="28"/>
          <w:szCs w:val="28"/>
          <w:lang w:bidi="ar-IQ"/>
        </w:rPr>
        <w:t>endazole</w:t>
      </w:r>
      <w:proofErr w:type="spellEnd"/>
      <w:r w:rsidR="004909C3">
        <w:rPr>
          <w:sz w:val="28"/>
          <w:szCs w:val="28"/>
          <w:lang w:bidi="ar-IQ"/>
        </w:rPr>
        <w:t xml:space="preserve"> or </w:t>
      </w:r>
      <w:proofErr w:type="spellStart"/>
      <w:r w:rsidR="004909C3">
        <w:rPr>
          <w:sz w:val="28"/>
          <w:szCs w:val="28"/>
          <w:lang w:bidi="ar-IQ"/>
        </w:rPr>
        <w:t>oxfendazole</w:t>
      </w:r>
      <w:proofErr w:type="spellEnd"/>
      <w:r w:rsidR="004909C3">
        <w:rPr>
          <w:sz w:val="28"/>
          <w:szCs w:val="28"/>
          <w:lang w:bidi="ar-IQ"/>
        </w:rPr>
        <w:t xml:space="preserve">) or </w:t>
      </w:r>
      <w:proofErr w:type="spellStart"/>
      <w:r w:rsidR="004909C3">
        <w:rPr>
          <w:sz w:val="28"/>
          <w:szCs w:val="28"/>
          <w:lang w:bidi="ar-IQ"/>
        </w:rPr>
        <w:t>the</w:t>
      </w:r>
      <w:r w:rsidRPr="007348E0">
        <w:rPr>
          <w:sz w:val="28"/>
          <w:szCs w:val="28"/>
          <w:lang w:bidi="ar-IQ"/>
        </w:rPr>
        <w:t>avermectins</w:t>
      </w:r>
      <w:proofErr w:type="spellEnd"/>
      <w:r w:rsidRPr="007348E0">
        <w:rPr>
          <w:sz w:val="28"/>
          <w:szCs w:val="28"/>
          <w:lang w:bidi="ar-IQ"/>
        </w:rPr>
        <w:t>/</w:t>
      </w:r>
      <w:r w:rsidR="004909C3">
        <w:rPr>
          <w:sz w:val="28"/>
          <w:szCs w:val="28"/>
          <w:lang w:bidi="ar-IQ"/>
        </w:rPr>
        <w:t xml:space="preserve"> </w:t>
      </w:r>
      <w:proofErr w:type="spellStart"/>
      <w:r w:rsidRPr="007348E0">
        <w:rPr>
          <w:sz w:val="28"/>
          <w:szCs w:val="28"/>
          <w:lang w:bidi="ar-IQ"/>
        </w:rPr>
        <w:t>milbemycins</w:t>
      </w:r>
      <w:proofErr w:type="spellEnd"/>
      <w:r w:rsidRPr="007348E0">
        <w:rPr>
          <w:sz w:val="28"/>
          <w:szCs w:val="28"/>
          <w:lang w:bidi="ar-IQ"/>
        </w:rPr>
        <w:t xml:space="preserve"> are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 xml:space="preserve">effective in the treatment of type II disease when </w:t>
      </w:r>
      <w:r w:rsidRPr="007348E0">
        <w:rPr>
          <w:sz w:val="28"/>
          <w:szCs w:val="28"/>
          <w:lang w:bidi="ar-IQ"/>
        </w:rPr>
        <w:lastRenderedPageBreak/>
        <w:t>used at standard dosage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levels, although the pro-</w:t>
      </w:r>
      <w:proofErr w:type="spellStart"/>
      <w:r w:rsidRPr="007348E0">
        <w:rPr>
          <w:sz w:val="28"/>
          <w:szCs w:val="28"/>
          <w:lang w:bidi="ar-IQ"/>
        </w:rPr>
        <w:t>benzimidazoles</w:t>
      </w:r>
      <w:proofErr w:type="spellEnd"/>
      <w:r w:rsidRPr="007348E0">
        <w:rPr>
          <w:sz w:val="28"/>
          <w:szCs w:val="28"/>
          <w:lang w:bidi="ar-IQ"/>
        </w:rPr>
        <w:t xml:space="preserve"> are also effective at higher dose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rates</w:t>
      </w:r>
      <w:r w:rsidRPr="007348E0">
        <w:rPr>
          <w:rFonts w:cs="Arial"/>
          <w:sz w:val="28"/>
          <w:szCs w:val="28"/>
          <w:rtl/>
          <w:lang w:bidi="ar-IQ"/>
        </w:rPr>
        <w:t>.</w:t>
      </w:r>
      <w:r w:rsidR="004909C3">
        <w:rPr>
          <w:sz w:val="28"/>
          <w:szCs w:val="28"/>
          <w:lang w:bidi="ar-IQ"/>
        </w:rPr>
        <w:t xml:space="preserve"> </w:t>
      </w:r>
    </w:p>
    <w:p w:rsidR="007348E0" w:rsidRPr="007348E0" w:rsidRDefault="007348E0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7348E0">
        <w:rPr>
          <w:sz w:val="28"/>
          <w:szCs w:val="28"/>
          <w:lang w:bidi="ar-IQ"/>
        </w:rPr>
        <w:t>The field where the outbreak has originated may be grazed by sheep or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rested until the following June</w:t>
      </w:r>
      <w:r w:rsidRPr="007348E0">
        <w:rPr>
          <w:rFonts w:cs="Arial"/>
          <w:sz w:val="28"/>
          <w:szCs w:val="28"/>
          <w:rtl/>
          <w:lang w:bidi="ar-IQ"/>
        </w:rPr>
        <w:t>.</w:t>
      </w:r>
    </w:p>
    <w:p w:rsidR="000B45F2" w:rsidRDefault="007348E0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7348E0">
        <w:rPr>
          <w:sz w:val="28"/>
          <w:szCs w:val="28"/>
          <w:lang w:bidi="ar-IQ"/>
        </w:rPr>
        <w:t xml:space="preserve">In lactating dairy cattle, topical </w:t>
      </w:r>
      <w:proofErr w:type="spellStart"/>
      <w:r w:rsidRPr="007348E0">
        <w:rPr>
          <w:sz w:val="28"/>
          <w:szCs w:val="28"/>
          <w:lang w:bidi="ar-IQ"/>
        </w:rPr>
        <w:t>eprinomectin</w:t>
      </w:r>
      <w:proofErr w:type="spellEnd"/>
      <w:r w:rsidRPr="007348E0">
        <w:rPr>
          <w:sz w:val="28"/>
          <w:szCs w:val="28"/>
          <w:lang w:bidi="ar-IQ"/>
        </w:rPr>
        <w:t xml:space="preserve"> has the advantage that there</w:t>
      </w:r>
      <w:r w:rsidR="004909C3">
        <w:rPr>
          <w:sz w:val="28"/>
          <w:szCs w:val="28"/>
          <w:lang w:bidi="ar-IQ"/>
        </w:rPr>
        <w:t xml:space="preserve"> </w:t>
      </w:r>
      <w:r w:rsidRPr="007348E0">
        <w:rPr>
          <w:sz w:val="28"/>
          <w:szCs w:val="28"/>
          <w:lang w:bidi="ar-IQ"/>
        </w:rPr>
        <w:t>is no milk withholding period.</w:t>
      </w:r>
    </w:p>
    <w:p w:rsidR="004F0072" w:rsidRDefault="004F0072" w:rsidP="004F0072">
      <w:pPr>
        <w:bidi w:val="0"/>
        <w:spacing w:after="0"/>
        <w:jc w:val="both"/>
        <w:rPr>
          <w:sz w:val="28"/>
          <w:szCs w:val="28"/>
          <w:lang w:bidi="ar-IQ"/>
        </w:rPr>
      </w:pPr>
      <w:r w:rsidRPr="004F0072">
        <w:rPr>
          <w:b/>
          <w:bCs/>
          <w:sz w:val="28"/>
          <w:szCs w:val="28"/>
          <w:lang w:bidi="ar-IQ"/>
        </w:rPr>
        <w:t>Control:</w:t>
      </w:r>
      <w:r w:rsidRPr="004F0072">
        <w:rPr>
          <w:sz w:val="28"/>
          <w:szCs w:val="28"/>
          <w:lang w:bidi="ar-IQ"/>
        </w:rPr>
        <w:t xml:space="preserve"> </w:t>
      </w:r>
    </w:p>
    <w:p w:rsidR="004F0072" w:rsidRPr="004F0072" w:rsidRDefault="004F0072" w:rsidP="004F0072">
      <w:pPr>
        <w:bidi w:val="0"/>
        <w:spacing w:after="0"/>
        <w:jc w:val="both"/>
        <w:rPr>
          <w:sz w:val="28"/>
          <w:szCs w:val="28"/>
          <w:rtl/>
          <w:lang w:bidi="ar-IQ"/>
        </w:rPr>
      </w:pPr>
      <w:r w:rsidRPr="004F0072">
        <w:rPr>
          <w:sz w:val="28"/>
          <w:szCs w:val="28"/>
          <w:lang w:bidi="ar-IQ"/>
        </w:rPr>
        <w:t xml:space="preserve">Traditionally, </w:t>
      </w:r>
      <w:proofErr w:type="spellStart"/>
      <w:r w:rsidRPr="004F0072">
        <w:rPr>
          <w:sz w:val="28"/>
          <w:szCs w:val="28"/>
          <w:lang w:bidi="ar-IQ"/>
        </w:rPr>
        <w:t>ostertagiosis</w:t>
      </w:r>
      <w:proofErr w:type="spellEnd"/>
      <w:r w:rsidRPr="004F0072">
        <w:rPr>
          <w:sz w:val="28"/>
          <w:szCs w:val="28"/>
          <w:lang w:bidi="ar-IQ"/>
        </w:rPr>
        <w:t xml:space="preserve"> has been prevented by routinely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 xml:space="preserve">treating young cattle with </w:t>
      </w:r>
      <w:proofErr w:type="spellStart"/>
      <w:r w:rsidRPr="004F0072">
        <w:rPr>
          <w:sz w:val="28"/>
          <w:szCs w:val="28"/>
          <w:lang w:bidi="ar-IQ"/>
        </w:rPr>
        <w:t>anthelmintics</w:t>
      </w:r>
      <w:proofErr w:type="spellEnd"/>
      <w:r w:rsidRPr="004F0072">
        <w:rPr>
          <w:sz w:val="28"/>
          <w:szCs w:val="28"/>
          <w:lang w:bidi="ar-IQ"/>
        </w:rPr>
        <w:t xml:space="preserve"> over the period when pasture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larval levels are increasing. However, it has the disadvantage that since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the calves are under continuous larval challenge their performance may be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impaired. With this system, effective anthelmintic treatment at housing is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 xml:space="preserve">also necessary using a drug effective against </w:t>
      </w:r>
      <w:proofErr w:type="spellStart"/>
      <w:r w:rsidRPr="004F0072">
        <w:rPr>
          <w:sz w:val="28"/>
          <w:szCs w:val="28"/>
          <w:lang w:bidi="ar-IQ"/>
        </w:rPr>
        <w:t>hypobiotic</w:t>
      </w:r>
      <w:proofErr w:type="spellEnd"/>
      <w:r w:rsidRPr="004F0072">
        <w:rPr>
          <w:sz w:val="28"/>
          <w:szCs w:val="28"/>
          <w:lang w:bidi="ar-IQ"/>
        </w:rPr>
        <w:t xml:space="preserve"> larvae in order to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prevent type II disease</w:t>
      </w:r>
      <w:r w:rsidRPr="004F0072">
        <w:rPr>
          <w:rFonts w:cs="Arial"/>
          <w:sz w:val="28"/>
          <w:szCs w:val="28"/>
          <w:rtl/>
          <w:lang w:bidi="ar-IQ"/>
        </w:rPr>
        <w:t>.</w:t>
      </w:r>
    </w:p>
    <w:p w:rsidR="004F0072" w:rsidRPr="004F0072" w:rsidRDefault="004F0072" w:rsidP="004F0072">
      <w:pPr>
        <w:bidi w:val="0"/>
        <w:spacing w:after="0"/>
        <w:jc w:val="both"/>
        <w:rPr>
          <w:sz w:val="28"/>
          <w:szCs w:val="28"/>
          <w:rtl/>
          <w:lang w:bidi="ar-IQ"/>
        </w:rPr>
      </w:pPr>
      <w:r w:rsidRPr="004F0072">
        <w:rPr>
          <w:sz w:val="28"/>
          <w:szCs w:val="28"/>
          <w:lang w:bidi="ar-IQ"/>
        </w:rPr>
        <w:t xml:space="preserve">The prevention of </w:t>
      </w:r>
      <w:proofErr w:type="spellStart"/>
      <w:r w:rsidRPr="004F0072">
        <w:rPr>
          <w:sz w:val="28"/>
          <w:szCs w:val="28"/>
          <w:lang w:bidi="ar-IQ"/>
        </w:rPr>
        <w:t>ostertagiosis</w:t>
      </w:r>
      <w:proofErr w:type="spellEnd"/>
      <w:r w:rsidRPr="004F0072">
        <w:rPr>
          <w:sz w:val="28"/>
          <w:szCs w:val="28"/>
          <w:lang w:bidi="ar-IQ"/>
        </w:rPr>
        <w:t xml:space="preserve"> by limiting exposure to infection is a more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 xml:space="preserve">efficient method of control. This may be </w:t>
      </w:r>
      <w:proofErr w:type="spellStart"/>
      <w:r w:rsidRPr="004F0072">
        <w:rPr>
          <w:sz w:val="28"/>
          <w:szCs w:val="28"/>
          <w:lang w:bidi="ar-IQ"/>
        </w:rPr>
        <w:t>acheived</w:t>
      </w:r>
      <w:proofErr w:type="spellEnd"/>
      <w:r w:rsidRPr="004F0072">
        <w:rPr>
          <w:sz w:val="28"/>
          <w:szCs w:val="28"/>
          <w:lang w:bidi="ar-IQ"/>
        </w:rPr>
        <w:t xml:space="preserve"> by allowing young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cattle sufficient exposure to larval infection to stimulate immunity but not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sufficient to cause a loss in production. The provision of this ‘safe pasture</w:t>
      </w:r>
      <w:r w:rsidRPr="004F0072">
        <w:rPr>
          <w:rFonts w:cs="Arial"/>
          <w:sz w:val="28"/>
          <w:szCs w:val="28"/>
          <w:rtl/>
          <w:lang w:bidi="ar-IQ"/>
        </w:rPr>
        <w:t>’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may be achieved in two ways</w:t>
      </w:r>
      <w:r w:rsidRPr="004F0072">
        <w:rPr>
          <w:rFonts w:cs="Arial"/>
          <w:sz w:val="28"/>
          <w:szCs w:val="28"/>
          <w:rtl/>
          <w:lang w:bidi="ar-IQ"/>
        </w:rPr>
        <w:t>:</w:t>
      </w:r>
    </w:p>
    <w:p w:rsidR="004F0072" w:rsidRPr="004F0072" w:rsidRDefault="004F0072" w:rsidP="004F0072">
      <w:pPr>
        <w:bidi w:val="0"/>
        <w:spacing w:after="0"/>
        <w:jc w:val="both"/>
        <w:rPr>
          <w:sz w:val="28"/>
          <w:szCs w:val="28"/>
          <w:rtl/>
          <w:lang w:bidi="ar-IQ"/>
        </w:rPr>
      </w:pPr>
      <w:r w:rsidRPr="004F0072">
        <w:rPr>
          <w:rFonts w:cs="Arial"/>
          <w:sz w:val="28"/>
          <w:szCs w:val="28"/>
          <w:rtl/>
          <w:lang w:bidi="ar-IQ"/>
        </w:rPr>
        <w:t xml:space="preserve">1. </w:t>
      </w:r>
      <w:r w:rsidRPr="004F0072">
        <w:rPr>
          <w:sz w:val="28"/>
          <w:szCs w:val="28"/>
          <w:lang w:bidi="ar-IQ"/>
        </w:rPr>
        <w:t xml:space="preserve">Using </w:t>
      </w:r>
      <w:proofErr w:type="spellStart"/>
      <w:r w:rsidRPr="004F0072">
        <w:rPr>
          <w:sz w:val="28"/>
          <w:szCs w:val="28"/>
          <w:lang w:bidi="ar-IQ"/>
        </w:rPr>
        <w:t>anthelmintics</w:t>
      </w:r>
      <w:proofErr w:type="spellEnd"/>
      <w:r w:rsidRPr="004F0072">
        <w:rPr>
          <w:sz w:val="28"/>
          <w:szCs w:val="28"/>
          <w:lang w:bidi="ar-IQ"/>
        </w:rPr>
        <w:t xml:space="preserve"> to limit pasture contamination with eggs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during periods when the climate is optimal for development of the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free-living larval stages, i.e. spring and summer in temperate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climates, or autumn and winter in the sub-tropics</w:t>
      </w:r>
      <w:r w:rsidRPr="004F0072">
        <w:rPr>
          <w:rFonts w:cs="Arial"/>
          <w:sz w:val="28"/>
          <w:szCs w:val="28"/>
          <w:rtl/>
          <w:lang w:bidi="ar-IQ"/>
        </w:rPr>
        <w:t>.</w:t>
      </w:r>
    </w:p>
    <w:p w:rsidR="004909C3" w:rsidRPr="000B45F2" w:rsidRDefault="004F0072" w:rsidP="003C58E6">
      <w:pPr>
        <w:bidi w:val="0"/>
        <w:spacing w:after="0"/>
        <w:jc w:val="both"/>
        <w:rPr>
          <w:sz w:val="28"/>
          <w:szCs w:val="28"/>
          <w:lang w:bidi="ar-IQ"/>
        </w:rPr>
      </w:pPr>
      <w:r w:rsidRPr="004F0072">
        <w:rPr>
          <w:rFonts w:cs="Arial"/>
          <w:sz w:val="28"/>
          <w:szCs w:val="28"/>
          <w:rtl/>
          <w:lang w:bidi="ar-IQ"/>
        </w:rPr>
        <w:t xml:space="preserve">2. </w:t>
      </w:r>
      <w:r w:rsidRPr="004F0072">
        <w:rPr>
          <w:sz w:val="28"/>
          <w:szCs w:val="28"/>
          <w:lang w:bidi="ar-IQ"/>
        </w:rPr>
        <w:t>Alternatively, by resting pasture or grazing it with another host</w:t>
      </w:r>
      <w:r w:rsidRPr="004F0072">
        <w:rPr>
          <w:rFonts w:cs="Arial"/>
          <w:sz w:val="28"/>
          <w:szCs w:val="28"/>
          <w:rtl/>
          <w:lang w:bidi="ar-IQ"/>
        </w:rPr>
        <w:t>,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 xml:space="preserve">such as sheep, which are not susceptible to O. </w:t>
      </w:r>
      <w:proofErr w:type="spellStart"/>
      <w:r w:rsidRPr="004F0072">
        <w:rPr>
          <w:sz w:val="28"/>
          <w:szCs w:val="28"/>
          <w:lang w:bidi="ar-IQ"/>
        </w:rPr>
        <w:t>ostertagi</w:t>
      </w:r>
      <w:proofErr w:type="spellEnd"/>
      <w:r w:rsidRPr="004F0072">
        <w:rPr>
          <w:sz w:val="28"/>
          <w:szCs w:val="28"/>
          <w:lang w:bidi="ar-IQ"/>
        </w:rPr>
        <w:t>, until most</w:t>
      </w:r>
      <w:r>
        <w:rPr>
          <w:sz w:val="28"/>
          <w:szCs w:val="28"/>
          <w:lang w:bidi="ar-IQ"/>
        </w:rPr>
        <w:t xml:space="preserve"> </w:t>
      </w:r>
      <w:r w:rsidRPr="004F0072">
        <w:rPr>
          <w:sz w:val="28"/>
          <w:szCs w:val="28"/>
          <w:lang w:bidi="ar-IQ"/>
        </w:rPr>
        <w:t>of the existing L3 on the pasture have died out</w:t>
      </w:r>
      <w:r w:rsidRPr="004F0072">
        <w:rPr>
          <w:rFonts w:cs="Arial"/>
          <w:sz w:val="28"/>
          <w:szCs w:val="28"/>
          <w:rtl/>
          <w:lang w:bidi="ar-IQ"/>
        </w:rPr>
        <w:t>.</w:t>
      </w:r>
      <w:bookmarkStart w:id="0" w:name="_GoBack"/>
      <w:bookmarkEnd w:id="0"/>
    </w:p>
    <w:sectPr w:rsidR="004909C3" w:rsidRPr="000B45F2" w:rsidSect="004F0072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F2"/>
    <w:rsid w:val="000B45F2"/>
    <w:rsid w:val="001E69EA"/>
    <w:rsid w:val="003C58E6"/>
    <w:rsid w:val="004909C3"/>
    <w:rsid w:val="004F0072"/>
    <w:rsid w:val="007348E0"/>
    <w:rsid w:val="00983CAF"/>
    <w:rsid w:val="00D747FB"/>
    <w:rsid w:val="00DD6DBE"/>
    <w:rsid w:val="00EE0312"/>
    <w:rsid w:val="00F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B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B4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2014-03-30T15:53:00Z</dcterms:created>
  <dcterms:modified xsi:type="dcterms:W3CDTF">2014-03-31T04:55:00Z</dcterms:modified>
</cp:coreProperties>
</file>